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Override PartName="/word/media/rId43.png" ContentType="image/png"/>
  <Override PartName="/word/media/rId46.png" ContentType="image/png"/>
  <Override PartName="/word/media/rId45.png" ContentType="image/png"/>
  <Override PartName="/word/media/rId44.png" ContentType="image/png"/>
  <Override PartName="/word/media/rId41.jpg" ContentType="image/jpeg"/>
  <Override PartName="/word/media/rId40.jpg" ContentType="image/jpe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December</w:t>
      </w:r>
      <w:r>
        <w:t xml:space="preserve"> </w:t>
      </w:r>
      <w:r>
        <w:t xml:space="preserve">13,</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others.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It was found that out of 116 medical staff and students, almost 98% used their cellphone throughout the day and in the office, and 4% used them while attending to patients. From this group, around 53% Of 266 medical staff and students at the time of the study, 116 completed questionnaires (response rate = 44%). Almost all (98%) used mobile phones: 67% used their mobile phones for hospital-related matters; 47% reported using their phone while attending patients. Only 3% reported washing their hands after use and 53% reported never cleaning their phone</w:t>
      </w:r>
      <w:r>
        <w:t xml:space="preserve"> </w:t>
      </w:r>
      <w:r>
        <w:t xml:space="preserve">(Ramesh</w:t>
      </w:r>
      <w:r>
        <w:t xml:space="preserve"> </w:t>
      </w:r>
      <w:r>
        <w:rPr>
          <w:i/>
        </w:rPr>
        <w:t xml:space="preserve">et al.</w:t>
      </w:r>
      <w:r>
        <w:t xml:space="preserve">, 2008)</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Furthermore, studies show that simply by cleaning your cellphones, you can drastically decrease the amount of bacteria growing on your phones. A study conducted by a German university found that cellphone screens that had been cleaned or wiped a with a microfiber cloth or alcohol-impregnated lens wipes had significantly less bacterial colonies found than cellphone screens that remained uncleaned</w:t>
      </w:r>
      <w:r>
        <w:t xml:space="preserve"> </w:t>
      </w:r>
      <w:r>
        <w:t xml:space="preserve">(Egert</w:t>
      </w:r>
      <w:r>
        <w:t xml:space="preserve"> </w:t>
      </w:r>
      <w:r>
        <w:rPr>
          <w:i/>
        </w:rPr>
        <w:t xml:space="preserve">et al.</w:t>
      </w:r>
      <w:r>
        <w:t xml:space="preserve">, 2015)</w:t>
      </w:r>
      <w:r>
        <w:t xml:space="preserve">. The same study was able to identify bacteria found on these cellphones to normally colonize on human skin, lungs, and mouth. They also were able to detect bacteria found in human fecal matter.</w:t>
      </w:r>
    </w:p>
    <w:p>
      <w:pPr>
        <w:pStyle w:val="BodyText"/>
      </w:pPr>
      <w:r>
        <w:t xml:space="preserve">One of the main goals of this project was to find one of the potential reasons 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of bacteria and amount bacterial colonies on the cell phone screens of students at the University of San Francisco compared to those found on the cellphone screens of professors at the same university.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w:t>
      </w:r>
    </w:p>
    <w:p>
      <w:pPr>
        <w:pStyle w:val="BodyText"/>
      </w:pPr>
      <w:r>
        <w:t xml:space="preserve">College students are notorious for having bad hygeine and lifestyle habits</w:t>
      </w:r>
      <w:r>
        <w:t xml:space="preserve"> </w:t>
      </w:r>
      <w:r>
        <w:t xml:space="preserve">(Dodd</w:t>
      </w:r>
      <w:r>
        <w:t xml:space="preserve"> </w:t>
      </w:r>
      <w:r>
        <w:rPr>
          <w:i/>
        </w:rPr>
        <w:t xml:space="preserve">et al.</w:t>
      </w:r>
      <w:r>
        <w:t xml:space="preserve">, 2010)</w:t>
      </w:r>
      <w:r>
        <w:t xml:space="preserve">. From eating unhealthy food and not exercising, to not cleaning up their living spaces, I expect to find a significantly large amount of different bacterial colonies on their cellphone screens. In fact, a study conducted in Japan found that students with a more unhealthy lifestyle tend to spend an increased time on their cellphones</w:t>
      </w:r>
      <w:r>
        <w:t xml:space="preserve"> </w:t>
      </w:r>
      <w:r>
        <w:t xml:space="preserve">(Ezoe</w:t>
      </w:r>
      <w:r>
        <w:t xml:space="preserve"> </w:t>
      </w:r>
      <w:r>
        <w:rPr>
          <w:i/>
        </w:rPr>
        <w:t xml:space="preserve">et al.</w:t>
      </w:r>
      <w:r>
        <w:t xml:space="preserve">, 2009)</w:t>
      </w:r>
      <w:r>
        <w:t xml:space="preserve">. Also, these cellphones were tested for pathogenic bacteria, and they identified that students who had spent an increased amount of time on their cellphones, clearly had more potentially pathogenic bacteria found on their screens.</w:t>
      </w:r>
    </w:p>
    <w:p>
      <w:pPr>
        <w:pStyle w:val="BodyText"/>
      </w:pPr>
      <w:r>
        <w:t xml:space="preserve">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conducted two rounds of PCR to amplify the DNA samples for both my culture and culture-free samples, and gel electrophoresis to separate the DNA fragments. I, also, used Qubit to quantify DNA concentrations. Sanger sequencing was, then, used to sequence the cultured DNA samples. With these successful results, I used BLAST to run my samples against the NCBI database and figure out what strains my were. Illumina sequencing was conducted with the culture-free DNA samples and also identified using the DADA2 pipeline.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and professor cellphones had a similar amount of colonies. Also, the number of morphotypes on cellphone screens was found to be similar for both professor cellphone and student cellphones.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from my cultured samples via BLAST.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 from my culture-free samples via the DADA2 pipeline. I concluded that although the number of morphotypes and colony abundance was relatively similar for both sample groups, there was a significant amount of pathogens detected throughout both sample groups.</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 (PBS), 12 1.5mL tubes, sterile swabs, and latex gloves. For this project, I collected a total of twelve samples, two samples per cellphone. I collected samples from 3 student cellphones and 3 professor cellphones, giving me a total of 6 cellphone screen samples. The samples were collected from students and faculty at the University of San Francisco, located in San Francisco, CA. To collect my samples, I used a sterile swab dipped in the buffer solution. I, then, swabbed the entire front screen of each phone for 30 seconds and then stored the swab in a sterile tube. Once I finished collecting all my samples, I broke off the portion of the swab with my 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 solution, and then cultured. I used 18 100 mm TSA plates for plating samples from each of my 2 treatments (n = 3 per group, 6 total). Then, I pipetted 100 μL of each sample 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 and then analyzed for the number of morphotypes present and the amount of colonies.</w:t>
      </w:r>
    </w:p>
    <w:p>
      <w:pPr>
        <w:pStyle w:val="BodyText"/>
      </w:pPr>
      <w:r>
        <w:t xml:space="preserve">For DNA extraction, I followed the manufacturer’s protocol from the Sigma REDExtract-N-Amp Kit</w:t>
      </w:r>
      <w:r>
        <w:t xml:space="preserve"> </w:t>
      </w:r>
      <w:r>
        <w:t xml:space="preserve">(Kreader</w:t>
      </w:r>
      <w:r>
        <w:t xml:space="preserve"> </w:t>
      </w:r>
      <w:r>
        <w:rPr>
          <w:i/>
        </w:rPr>
        <w:t xml:space="preserve">et al.</w:t>
      </w:r>
      <w:r>
        <w:t xml:space="preserve">, 2001)</w:t>
      </w:r>
      <w:r>
        <w:t xml:space="preserve">. From my TSA plate, using a toothpick, I scraped samples from the most secluded colonies, trying to avoid colonies that were in contact with one another to try to avoid contamination. After this, I pipetted 198 μL of the Qubit solution and 2 μL of my DNA extraction into a Qubit tube. After placing the Qubit solution and my sample in the Qubit tube, I vortexed this mixture for 5 seconds and incubated the tubes in the dark for 5 minutes. Once this was complete, I used the Qubit to analyze the amount of DNA 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 The master mix for the cultured samples included 10 μL of Amp, 0.8 μL of the 27f primer, 0.8 μL of 1492r primer, 1 μL of BSA, and 6.4 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 contained TAE buffer, SYBR safe dye, and a 2% agarose gel. Once the thermocycling was complete, the gel was carefully loaded with a pipette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 successful amplification using gel electrophoresis, PCR products were cleaned with ExoSAP (Invitrogen) and sent for unidirectional Sanger sequencing at MCLAB 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10 μL of Amp, 0.8 μL 10 μM iseq 16sF primer, 0.8 μL 10 μM iseq 16sR primer, 1 μL BSA, and 6.4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and run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w:t>
      </w:r>
      <w:r>
        <w:t xml:space="preserve"> </w:t>
      </w:r>
      <w:r>
        <w:t xml:space="preserve">(Meyer and Kircher, 2010)</w:t>
      </w:r>
      <w:r>
        <w:t xml:space="preserve"> </w:t>
      </w:r>
      <w:r>
        <w:t xml:space="preserve">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95°C for 30 s, 55°C for 30s, and 72°C for 30s, followed by a 5 minute elongation cycle at 72°C.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w:t>
      </w:r>
      <w:r>
        <w:t xml:space="preserve"> </w:t>
      </w:r>
      <w:r>
        <w:t xml:space="preserve">(Callahan</w:t>
      </w:r>
      <w:r>
        <w:t xml:space="preserve"> </w:t>
      </w:r>
      <w:r>
        <w:rPr>
          <w:i/>
        </w:rPr>
        <w:t xml:space="preserve">et al.</w:t>
      </w:r>
      <w:r>
        <w:t xml:space="preserve">, 2016)</w:t>
      </w:r>
      <w:r>
        <w:t xml:space="preserve">.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r>
        <w:t xml:space="preserve"> </w:t>
      </w:r>
      <w:r>
        <w:t xml:space="preserve">(McMurdie and Holmes, 2013)</w:t>
      </w:r>
      <w:r>
        <w:t xml:space="preserve">.</w:t>
      </w:r>
    </w:p>
    <w:p>
      <w:pPr>
        <w:pStyle w:val="Heading1"/>
      </w:pPr>
      <w:bookmarkStart w:id="31" w:name="results"/>
      <w:r>
        <w:t xml:space="preserve">Results</w:t>
      </w:r>
      <w:bookmarkEnd w:id="31"/>
    </w:p>
    <w:p>
      <w:pPr>
        <w:pStyle w:val="FirstParagraph"/>
      </w:pPr>
      <w:r>
        <w:t xml:space="preserve">There were two main methods used throughout this project:culture samples and Sanger sequencing as well as culture-free samples and Illumina sequencing. The main goal of this study was to not only identify the bacteria found on cellphone screens but also quantify colony abundance and morphotypes. I also wanted to figure out if any of the bacteria found in any of my samples were pathogenic. I was able to identify</w:t>
      </w:r>
      <w:r>
        <w:t xml:space="preserve"> </w:t>
      </w:r>
      <w:r>
        <w:rPr>
          <w:i/>
        </w:rPr>
        <w:t xml:space="preserve">Kocuria palustris</w:t>
      </w:r>
      <w:r>
        <w:t xml:space="preserve">,</w:t>
      </w:r>
      <w:r>
        <w:t xml:space="preserve"> </w:t>
      </w:r>
      <w:r>
        <w:rPr>
          <w:i/>
        </w:rPr>
        <w:t xml:space="preserve">Staphylococcus</w:t>
      </w:r>
      <w:r>
        <w:t xml:space="preserve">, and</w:t>
      </w:r>
      <w:r>
        <w:t xml:space="preserve"> </w:t>
      </w:r>
      <w:r>
        <w:rPr>
          <w:i/>
        </w:rPr>
        <w:t xml:space="preserve">Staphylococcus epidermis</w:t>
      </w:r>
      <w:r>
        <w:t xml:space="preserve"> </w:t>
      </w:r>
      <w:r>
        <w:t xml:space="preserve">via Sanger sequencing. I also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Illumina sequencing. The only bacteria identified that was consistent in both methods was</w:t>
      </w:r>
      <w:r>
        <w:t xml:space="preserve"> </w:t>
      </w:r>
      <w:r>
        <w:rPr>
          <w:i/>
        </w:rPr>
        <w:t xml:space="preserve">Staphylococcus</w:t>
      </w:r>
      <w:r>
        <w:t xml:space="preserve">, the rest of the results were inconsistent.</w:t>
      </w:r>
    </w:p>
    <w:p>
      <w:pPr>
        <w:pStyle w:val="Heading2"/>
      </w:pPr>
      <w:bookmarkStart w:id="32" w:name="culture-sample-and-sanger-sequencing-results"/>
      <w:r>
        <w:t xml:space="preserve">Culture Sample and Sanger Sequencing Results</w:t>
      </w:r>
      <w:bookmarkEnd w:id="32"/>
    </w:p>
    <w:p>
      <w:pPr>
        <w:pStyle w:val="FirstParagraph"/>
      </w:pPr>
      <w:r>
        <w:t xml:space="preserve">To gather my culture sample results, I cultured colonies from the samples I collected, extracted and quantified the DNA using Qubit, conducted PCR and gel electrophoresis. Once this was done and Sanger sequencing was done, I trimmed and cleaned the sequences. Then, I used MAFFT to align these sequences and later created a Maximum Likelihood phylogeny and a Bayesian phylogeny. Finally, I ran the successful samples through the NCBI’s BLAST tool to identify exactly what bacteria I had gathered.</w:t>
      </w:r>
    </w:p>
    <w:p>
      <w:pPr>
        <w:pStyle w:val="BodyText"/>
      </w:pPr>
      <w:r>
        <w:t xml:space="preserve">Using BLAST to identify my Sanger sequences,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 accuracy of 98.88% (Table 1). After loading the files onto Geneious, I found that only 3 out of my 6 samples were usable (Table 2). The Qubit data is the amount of DNA present in each sample, or the DNA concentration. Specifically, samples</w:t>
      </w:r>
      <w:r>
        <w:t xml:space="preserve"> </w:t>
      </w:r>
      <w:r>
        <w:t xml:space="preserve">“</w:t>
      </w:r>
      <w:r>
        <w:t xml:space="preserve">JI, Prof SS 1-10, and Prof EY</w:t>
      </w:r>
      <w:r>
        <w:t xml:space="preserve">”</w:t>
      </w:r>
      <w:r>
        <w:t xml:space="preserve"> </w:t>
      </w:r>
      <w:r>
        <w:t xml:space="preserve">of the cultured samples had relatively high DNA concentrations (Table 3). The Qubit data from my culture-free samples also had relatively high DNA concentrations, with samples</w:t>
      </w:r>
      <w:r>
        <w:t xml:space="preserve"> </w:t>
      </w:r>
      <w:r>
        <w:t xml:space="preserve">“</w:t>
      </w:r>
      <w:r>
        <w:t xml:space="preserve">JI, Prof NT, and Prof EY</w:t>
      </w:r>
      <w:r>
        <w:t xml:space="preserve">”</w:t>
      </w:r>
      <w:r>
        <w:t xml:space="preserve"> </w:t>
      </w:r>
      <w:r>
        <w:t xml:space="preserve">having the highest Qubit values (Table 4).</w:t>
      </w:r>
    </w:p>
    <w:p>
      <w:pPr>
        <w:pStyle w:val="BodyText"/>
      </w:pPr>
      <w:r>
        <w:t xml:space="preserve">The median value of the number of colonies for professors was 6, compared to the median value of the number of colonies for students which was 37. Students also had a maximum value of colonies of 50 colonies compared to the maximum value of colonies for professors, which was near 25 (Figure 1). However, given the p-value of 1, there was no significant difference in the number of colonies between the two sample groups (Table 5, Wilcox p-value = 1). The median value of the number of morphotypes for professors was 1 with and a maximum value of 5 morphotypes. The median value of the number of morphotypes for students was 1, with the maximum value of 4. Both of these groups show a similar value for the number of morphotypes (Figure 2). There was no significant difference between the number of morphotypes for both sample groups (Table 6, Wilcox p-value = 1). Given both of these p-values, I failed to reject the null hypothesis. Therefore, I can conclude that although students seemed to have a higher number of colonies on their cellphones, the number of morphotypes between both sample groups was similar.</w:t>
      </w:r>
    </w:p>
    <w:p>
      <w:pPr>
        <w:pStyle w:val="BodyText"/>
      </w:pPr>
      <w:r>
        <w:t xml:space="preserve">The Maximum Likelihood phylogeny shows no support that the bacteria from my samples are from the same clade as</w:t>
      </w:r>
      <w:r>
        <w:t xml:space="preserve"> </w:t>
      </w:r>
      <w:r>
        <w:rPr>
          <w:i/>
        </w:rPr>
        <w:t xml:space="preserve">Thermus aquaticus</w:t>
      </w:r>
      <w:r>
        <w:t xml:space="preserve">. There is support, however, that two 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 shows that there is no support that the bacteria from my samples are from the same clade as</w:t>
      </w:r>
      <w:r>
        <w:t xml:space="preserve"> </w:t>
      </w:r>
      <w:r>
        <w:rPr>
          <w:i/>
        </w:rPr>
        <w:t xml:space="preserve">Thermus aquaticus</w:t>
      </w:r>
      <w:r>
        <w:t xml:space="preserve">. There is significant support showing that 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 which is understandable since they are both the same genus (Figure 4, posterior probability = 0.9976).</w:t>
      </w:r>
    </w:p>
    <w:p>
      <w:pPr>
        <w:pStyle w:val="BodyText"/>
      </w:pPr>
      <w:r>
        <w:t xml:space="preserve">In the gel electrophoresis image for the cultured DNA samples,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 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 Well 15 contained a negative control, which was pure water and the ladder was also included. The only bands that showed up were from samples</w:t>
      </w:r>
      <w:r>
        <w:t xml:space="preserve"> </w:t>
      </w:r>
      <w:r>
        <w:t xml:space="preserve">“</w:t>
      </w:r>
      <w:r>
        <w:t xml:space="preserve">Prof NT, Prof EY, and AG</w:t>
      </w:r>
      <w:r>
        <w:t xml:space="preserve">”</w:t>
      </w:r>
      <w:r>
        <w:t xml:space="preserve">. Furthermore, even though these bands did show, they were still faint (Figure 5). The rest of the samples showed no bands present in the image.</w:t>
      </w:r>
    </w:p>
    <w:p>
      <w:pPr>
        <w:pStyle w:val="Heading2"/>
      </w:pPr>
      <w:bookmarkStart w:id="33" w:name="culture-free-samples-and-illumina-sequencing-results"/>
      <w:r>
        <w:t xml:space="preserve">Culture-Free Samples and Illumina Sequencing Results</w:t>
      </w:r>
      <w:bookmarkEnd w:id="33"/>
    </w:p>
    <w:p>
      <w:pPr>
        <w:pStyle w:val="FirstParagraph"/>
      </w:pPr>
      <w:r>
        <w:t xml:space="preserve">To gather my results for my culture-free samples, I analyzed the sequence qualities by running FastQC reports. I, then, cleaned and trimmed my sequences using Trimmomatic. Once again, my samples were run through the BLAST tool to identify the bacterial strain and later determine the amount of varying taxa within each of my samples. I was also able to determine the most commonly occurring taxa and genera, as well as the number of sequences present.</w:t>
      </w:r>
    </w:p>
    <w:p>
      <w:pPr>
        <w:pStyle w:val="BodyText"/>
      </w:pPr>
      <w:r>
        <w:t xml:space="preserve">In the gel electrophoresis image for the culture-free DNA samples, no bands showed at all. In fact, all of my samples remained in their wells (Figure 6). The ladder was also included as a reference.</w:t>
      </w:r>
    </w:p>
    <w:p>
      <w:pPr>
        <w:pStyle w:val="BodyText"/>
      </w:pPr>
      <w:r>
        <w:t xml:space="preserve">After loading my sequences into trimmomatic, I ended up with sequences that were trimmed, cleaned, and filtered. I found that my input reads for each of my samples were all above 10,000 sequences, and that after trimmomatic had run all of my sequences had a surviving percentage above 94%. The sample with the lowest input reads and the lowest surviving percentage was sample</w:t>
      </w:r>
      <w:r>
        <w:t xml:space="preserve"> </w:t>
      </w:r>
      <w:r>
        <w:t xml:space="preserve">“</w:t>
      </w:r>
      <w:r>
        <w:t xml:space="preserve">SB</w:t>
      </w:r>
      <w:r>
        <w:t xml:space="preserve">”</w:t>
      </w:r>
      <w:r>
        <w:t xml:space="preserve"> </w:t>
      </w:r>
      <w:r>
        <w:t xml:space="preserve">with an input read of 11685 and a surviving percentage of 94.21% (Table 7).</w:t>
      </w:r>
    </w:p>
    <w:p>
      <w:pPr>
        <w:pStyle w:val="BodyText"/>
      </w:pPr>
      <w:r>
        <w:t xml:space="preserve">I also ran FastQC reports on my culture-free samples and determined the sequence quality. None of my samples were flagged as poor quality. Sample</w:t>
      </w:r>
      <w:r>
        <w:t xml:space="preserve"> </w:t>
      </w:r>
      <w:r>
        <w:t xml:space="preserve">“</w:t>
      </w:r>
      <w:r>
        <w:t xml:space="preserve">AG</w:t>
      </w:r>
      <w:r>
        <w:t xml:space="preserve">”</w:t>
      </w:r>
      <w:r>
        <w:t xml:space="preserve"> </w:t>
      </w:r>
      <w:r>
        <w:t xml:space="preserve">had a total of 15604 sequences and the %GC was 51%. Sample</w:t>
      </w:r>
      <w:r>
        <w:t xml:space="preserve"> </w:t>
      </w:r>
      <w:r>
        <w:t xml:space="preserve">“</w:t>
      </w:r>
      <w:r>
        <w:t xml:space="preserve">JI</w:t>
      </w:r>
      <w:r>
        <w:t xml:space="preserve">”</w:t>
      </w:r>
      <w:r>
        <w:t xml:space="preserve"> </w:t>
      </w:r>
      <w:r>
        <w:t xml:space="preserve">had a total of 13319 sequences and the %GC was 52%. Sample</w:t>
      </w:r>
      <w:r>
        <w:t xml:space="preserve"> </w:t>
      </w:r>
      <w:r>
        <w:t xml:space="preserve">“</w:t>
      </w:r>
      <w:r>
        <w:t xml:space="preserve">SB</w:t>
      </w:r>
      <w:r>
        <w:t xml:space="preserve">”</w:t>
      </w:r>
      <w:r>
        <w:t xml:space="preserve"> </w:t>
      </w:r>
      <w:r>
        <w:t xml:space="preserve">had a total of 11685 sequences and the %GC was 50%. Sample</w:t>
      </w:r>
      <w:r>
        <w:t xml:space="preserve"> </w:t>
      </w:r>
      <w:r>
        <w:t xml:space="preserve">“</w:t>
      </w:r>
      <w:r>
        <w:t xml:space="preserve">Prof EY</w:t>
      </w:r>
      <w:r>
        <w:t xml:space="preserve">”</w:t>
      </w:r>
      <w:r>
        <w:t xml:space="preserve"> </w:t>
      </w:r>
      <w:r>
        <w:t xml:space="preserve">had a total of 17265 sequences and the %GC was 52%. Sample</w:t>
      </w:r>
      <w:r>
        <w:t xml:space="preserve"> </w:t>
      </w:r>
      <w:r>
        <w:t xml:space="preserve">“</w:t>
      </w:r>
      <w:r>
        <w:t xml:space="preserve">Prof NT</w:t>
      </w:r>
      <w:r>
        <w:t xml:space="preserve">”</w:t>
      </w:r>
      <w:r>
        <w:t xml:space="preserve"> </w:t>
      </w:r>
      <w:r>
        <w:t xml:space="preserve">had a total of 13229 sequences and the %GC was 52%. Finally, sample</w:t>
      </w:r>
      <w:r>
        <w:t xml:space="preserve"> </w:t>
      </w:r>
      <w:r>
        <w:t xml:space="preserve">“</w:t>
      </w:r>
      <w:r>
        <w:t xml:space="preserve">Prof SS</w:t>
      </w:r>
      <w:r>
        <w:t xml:space="preserve">”</w:t>
      </w:r>
      <w:r>
        <w:t xml:space="preserve"> </w:t>
      </w:r>
      <w:r>
        <w:t xml:space="preserve">had a total of 13521 sequences and the %GC was, also, 52%. These reports show that my sequences were good quality and, therefore, strengthens and supports my findings.</w:t>
      </w:r>
    </w:p>
    <w:p>
      <w:pPr>
        <w:pStyle w:val="BodyText"/>
      </w:pPr>
      <w:r>
        <w:t xml:space="preserve">For my culture-free samples using Illumina sequencing,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Among these results,</w:t>
      </w:r>
      <w:r>
        <w:t xml:space="preserve"> </w:t>
      </w:r>
      <w:r>
        <w:rPr>
          <w:i/>
        </w:rPr>
        <w:t xml:space="preserve">Streptococcus salivarius</w:t>
      </w:r>
      <w:r>
        <w:t xml:space="preserve"> </w:t>
      </w:r>
      <w:r>
        <w:t xml:space="preserve">had the highest number of matched sequences at 30840 sequences, and</w:t>
      </w:r>
      <w:r>
        <w:t xml:space="preserve"> </w:t>
      </w:r>
      <w:r>
        <w:rPr>
          <w:i/>
        </w:rPr>
        <w:t xml:space="preserve">Staphylococcus aureus</w:t>
      </w:r>
      <w:r>
        <w:t xml:space="preserve"> </w:t>
      </w:r>
      <w:r>
        <w:t xml:space="preserve">had the highest amount of different taxa present with 279 different colonies (Table 8).</w:t>
      </w:r>
    </w:p>
    <w:p>
      <w:pPr>
        <w:pStyle w:val="BodyText"/>
      </w:pPr>
      <w:r>
        <w:t xml:space="preserve">The most abundant sequences amongst all my samples from both sample groups, were identified to be from the Phyla: Actinobacteria, Firmicutes, and Proteobacteria. There was also a large amount of sequences that were not able to be traced to their Phyla, and were ultimately unidentifiable (Figure 7). All my samples from both professors and students, plus the positive control had a top abundance of the Phylum Firmicutes. The negative control, which was just distilled PCR water, was found to have bacterial sequences in it. The top Phylum for the negative control was Proteobacteria (Table 9).</w:t>
      </w:r>
    </w:p>
    <w:p>
      <w:pPr>
        <w:pStyle w:val="BodyText"/>
      </w:pPr>
      <w:r>
        <w:t xml:space="preserve">The most abundant classes found amongst both samples groups were identified to be: Actinobacteria, Bacilli, Gammaproteobacteria (Figure 8). There was also a large amount of sequences which could not be identified, and were thus labeled</w:t>
      </w:r>
      <w:r>
        <w:t xml:space="preserve"> </w:t>
      </w:r>
      <w:r>
        <w:t xml:space="preserve">“</w:t>
      </w:r>
      <w:r>
        <w:t xml:space="preserve">N/A</w:t>
      </w:r>
      <w:r>
        <w:t xml:space="preserve">”</w:t>
      </w:r>
      <w:r>
        <w:t xml:space="preserve">. The highest sum abundance was Bacilli at 3000. There was no evidence of the following classes: Acidobacteria groups 1,4, and 7, Armatimonadia, Deinococci, Epsilonproteobacteria, Erysipeiotrichia, Gemmatimonadetes, Ktedonobacteria, and Verrucomicrobiae (Figure 8).</w:t>
      </w:r>
    </w:p>
    <w:p>
      <w:pPr>
        <w:pStyle w:val="BodyText"/>
      </w:pPr>
      <w:r>
        <w:t xml:space="preserve">The negative control sequences had a few that were unidentifiable, but also had sequences from the Phyla Proteobacteria, Firmicutes, and Actinobacteria. The positive control had sequences from the Phyla Proteobacteria and Firmicutes. Professor samples had sequences, some of which could not be identified, but also had sequences which were found to come from the Phyla Proteobacteria, Firmicutes, Chloroflexl, Bacteroidetes, and Actinobacteria (Figure 9). Student samples also had the same identification as professors, however they varied slightly in the abundance. In professor samples, there was a higher sum abundance of Firmicutes compared to the student samples (Figure 9).</w:t>
      </w:r>
    </w:p>
    <w:p>
      <w:pPr>
        <w:pStyle w:val="BodyText"/>
      </w:pPr>
      <w:r>
        <w:t xml:space="preserve">To look at specific pathogens, I found that each cellphone sample from both sample groups had some amount of</w:t>
      </w:r>
      <w:r>
        <w:t xml:space="preserve"> </w:t>
      </w:r>
      <w:r>
        <w:rPr>
          <w:i/>
        </w:rPr>
        <w:t xml:space="preserve">Streptococcus</w:t>
      </w:r>
      <w:r>
        <w:t xml:space="preserve"> </w:t>
      </w:r>
      <w:r>
        <w:t xml:space="preserve">present. Sample</w:t>
      </w:r>
      <w:r>
        <w:t xml:space="preserve"> </w:t>
      </w:r>
      <w:r>
        <w:t xml:space="preserve">“</w:t>
      </w:r>
      <w:r>
        <w:t xml:space="preserve">JI</w:t>
      </w:r>
      <w:r>
        <w:t xml:space="preserve">”</w:t>
      </w:r>
      <w:r>
        <w:t xml:space="preserve"> </w:t>
      </w:r>
      <w:r>
        <w:t xml:space="preserve">had the largest presence of</w:t>
      </w:r>
      <w:r>
        <w:t xml:space="preserve"> </w:t>
      </w:r>
      <w:r>
        <w:rPr>
          <w:i/>
        </w:rPr>
        <w:t xml:space="preserve">Streptococcus</w:t>
      </w:r>
      <w:r>
        <w:t xml:space="preserve"> </w:t>
      </w:r>
      <w:r>
        <w:t xml:space="preserve">and sample</w:t>
      </w:r>
      <w:r>
        <w:t xml:space="preserve"> </w:t>
      </w:r>
      <w:r>
        <w:t xml:space="preserve">“</w:t>
      </w:r>
      <w:r>
        <w:t xml:space="preserve">SB</w:t>
      </w:r>
      <w:r>
        <w:t xml:space="preserve">”</w:t>
      </w:r>
      <w:r>
        <w:t xml:space="preserve"> </w:t>
      </w:r>
      <w:r>
        <w:t xml:space="preserve">had the lowest number of strains found (Figure 10). I, also, found that each cellphone sample from both sample groups had presence of</w:t>
      </w:r>
      <w:r>
        <w:t xml:space="preserve"> </w:t>
      </w:r>
      <w:r>
        <w:rPr>
          <w:i/>
        </w:rPr>
        <w:t xml:space="preserve">Staphylococcus</w:t>
      </w:r>
      <w:r>
        <w:t xml:space="preserve"> </w:t>
      </w:r>
      <w:r>
        <w:t xml:space="preserve">present (Figure 11). Sample</w:t>
      </w:r>
      <w:r>
        <w:t xml:space="preserve"> </w:t>
      </w:r>
      <w:r>
        <w:t xml:space="preserve">“</w:t>
      </w:r>
      <w:r>
        <w:t xml:space="preserve">EY</w:t>
      </w:r>
      <w:r>
        <w:t xml:space="preserve">”</w:t>
      </w:r>
      <w:r>
        <w:t xml:space="preserve"> </w:t>
      </w:r>
      <w:r>
        <w:t xml:space="preserve">had the largest amount of this bacteria present on the cellphone screen and sample</w:t>
      </w:r>
      <w:r>
        <w:t xml:space="preserve"> </w:t>
      </w:r>
      <w:r>
        <w:t xml:space="preserve">“</w:t>
      </w:r>
      <w:r>
        <w:t xml:space="preserve">JI</w:t>
      </w:r>
      <w:r>
        <w:t xml:space="preserve">”</w:t>
      </w:r>
      <w:r>
        <w:t xml:space="preserve"> </w:t>
      </w:r>
      <w:r>
        <w:t xml:space="preserve">had the lowest amount of</w:t>
      </w:r>
      <w:r>
        <w:t xml:space="preserve"> </w:t>
      </w:r>
      <w:r>
        <w:rPr>
          <w:i/>
        </w:rPr>
        <w:t xml:space="preserve">Staphylococcus</w:t>
      </w:r>
      <w:r>
        <w:t xml:space="preserve"> </w:t>
      </w:r>
      <w:r>
        <w:t xml:space="preserve">present (Figure 11). It is interesting to see that sample</w:t>
      </w:r>
      <w:r>
        <w:t xml:space="preserve"> </w:t>
      </w:r>
      <w:r>
        <w:t xml:space="preserve">“</w:t>
      </w:r>
      <w:r>
        <w:t xml:space="preserve">JI</w:t>
      </w:r>
      <w:r>
        <w:t xml:space="preserve">”</w:t>
      </w:r>
      <w:r>
        <w:t xml:space="preserve"> </w:t>
      </w:r>
      <w:r>
        <w:t xml:space="preserve">had the highest amount of</w:t>
      </w:r>
      <w:r>
        <w:t xml:space="preserve"> </w:t>
      </w:r>
      <w:r>
        <w:rPr>
          <w:i/>
        </w:rPr>
        <w:t xml:space="preserve">Streptococcus</w:t>
      </w:r>
      <w:r>
        <w:t xml:space="preserve"> </w:t>
      </w:r>
      <w:r>
        <w:t xml:space="preserve">present, yet the lowest number of</w:t>
      </w:r>
      <w:r>
        <w:t xml:space="preserve"> </w:t>
      </w:r>
      <w:r>
        <w:rPr>
          <w:i/>
        </w:rPr>
        <w:t xml:space="preserve">Staphylococcus</w:t>
      </w:r>
      <w:r>
        <w:t xml:space="preserve"> </w:t>
      </w:r>
      <w:r>
        <w:t xml:space="preserve">bacteria present.</w:t>
      </w:r>
    </w:p>
    <w:p>
      <w:pPr>
        <w:pStyle w:val="BodyText"/>
      </w:pPr>
      <w:r>
        <w:t xml:space="preserve">I ran my data set through the DADA pipeline. This removed extra sequences, counted the number of chimeras, and the total Amplicon Sequence Variants. The pipelines was also used to determine the taxonomy of each sample. The DADA pipeline identified 84 bimeras out of 775 input sequences. I had 91.61 nonchimeric reads, therefore, I had 8.39 chimeric reads.</w:t>
      </w:r>
    </w:p>
    <w:p>
      <w:pPr>
        <w:pStyle w:val="Heading1"/>
      </w:pPr>
      <w:bookmarkStart w:id="34" w:name="discussion"/>
      <w:r>
        <w:t xml:space="preserve">Discussion</w:t>
      </w:r>
      <w:bookmarkEnd w:id="34"/>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on them every place they go. I, also, hypothesized that student cellphones would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 When looking at my culture data, BLAST determined the bacteria to be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When looking at my culture-free data, however, I did not have the same results. I found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BLAST in my culture-free samples. The results from the DADA pipeline varied slightly with my BLAST results. The DADA pipeline results showed that the most common Phyla amongst both sample groups were Actinobacteria, Bacilli, Gammaproteobacteria. Of these, only Bacilli is a phylum that is potentially pathogenic to humans.</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 Through my study, it is evident that pathogens have a large presence within the environment, and individuals, especially, carry them around on their cellphone screens on a daily basis. In hopes of reducing the amount of bacteria individuals may expose themselves to, research has shown that taking a few minutes to clean a cellphone screen is quite effective. To carry this research forward, this project could be replicated with larger sample groups to ensure that these findings are well-supported. Furthermore, the scope could also be broadened to other, commonly-used technology such as laptops or at-home, desktop computers. This would also further support the need to maintain proper hygienic habits for all personal technology.</w:t>
      </w:r>
    </w:p>
    <w:p>
      <w:pPr>
        <w:pStyle w:val="Heading1"/>
      </w:pPr>
      <w:bookmarkStart w:id="35" w:name="figures-and-tables"/>
      <w:r>
        <w:t xml:space="preserve">Figures and Tables</w:t>
      </w:r>
      <w:bookmarkEnd w:id="35"/>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 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5:</w:t>
      </w:r>
      <w:r>
        <w:t xml:space="preserve"> </w:t>
      </w:r>
      <w:r>
        <w:t xml:space="preserve">Shows The p-value resulting from a statistical test for the number of colonies found on cellphone screens between professors and students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Box 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6:</w:t>
      </w:r>
      <w:r>
        <w:t xml:space="preserve"> </w:t>
      </w:r>
      <w:r>
        <w:t xml:space="preserve">Table shows p-value as a result from a statistical test for the</w:t>
      </w:r>
      <w:r>
        <w:t xml:space="preserve"> </w:t>
      </w:r>
      <w:r>
        <w:t xml:space="preserve">number of morphotypes found between professor and student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40"/>
                    <a:stretch>
                      <a:fillRect/>
                    </a:stretch>
                  </pic:blipFill>
                  <pic:spPr bwMode="auto">
                    <a:xfrm>
                      <a:off x="0" y="0"/>
                      <a:ext cx="5118100" cy="3365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41"/>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rPr>
                <w:i/>
              </w:rP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rPr>
                <w:i/>
              </w:rP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rPr>
                <w:i/>
              </w:rP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rPr>
                <w:i/>
              </w:rP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rPr>
                <w:i/>
              </w:rP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rPr>
                <w:i/>
              </w:rP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coun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counts-char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7" w:name="sources-cited"/>
      <w:r>
        <w:t xml:space="preserve">Sources Cited</w:t>
      </w:r>
      <w:bookmarkEnd w:id="47"/>
    </w:p>
    <w:bookmarkStart w:id="84" w:name="refs"/>
    <w:bookmarkStart w:id="48"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8"/>
    <w:bookmarkStart w:id="49"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9"/>
    <w:bookmarkStart w:id="50"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50"/>
    <w:bookmarkStart w:id="51"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51"/>
    <w:bookmarkStart w:id="52"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2"/>
    <w:bookmarkStart w:id="53"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3"/>
    <w:bookmarkStart w:id="54"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4"/>
    <w:bookmarkStart w:id="55"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5"/>
    <w:bookmarkStart w:id="56" w:name="ref-dodd2010lifestyle"/>
    <w:p>
      <w:pPr>
        <w:pStyle w:val="Bibliography"/>
      </w:pPr>
      <w:r>
        <w:t xml:space="preserve">Dodd,L.J.</w:t>
      </w:r>
      <w:r>
        <w:t xml:space="preserve"> </w:t>
      </w:r>
      <w:r>
        <w:rPr>
          <w:i/>
        </w:rPr>
        <w:t xml:space="preserve">et al.</w:t>
      </w:r>
      <w:r>
        <w:t xml:space="preserve"> </w:t>
      </w:r>
      <w:r>
        <w:t xml:space="preserve">(2010) Lifestyle risk factors of students: A cluster analytical approach.</w:t>
      </w:r>
      <w:r>
        <w:t xml:space="preserve"> </w:t>
      </w:r>
      <w:r>
        <w:rPr>
          <w:i/>
        </w:rPr>
        <w:t xml:space="preserve">Preventive medicine</w:t>
      </w:r>
      <w:r>
        <w:t xml:space="preserve">,</w:t>
      </w:r>
      <w:r>
        <w:t xml:space="preserve"> </w:t>
      </w:r>
      <w:r>
        <w:rPr>
          <w:b/>
        </w:rPr>
        <w:t xml:space="preserve">51</w:t>
      </w:r>
      <w:r>
        <w:t xml:space="preserve">, 73–77.</w:t>
      </w:r>
    </w:p>
    <w:bookmarkEnd w:id="56"/>
    <w:bookmarkStart w:id="57" w:name="ref-egert2015bacteria"/>
    <w:p>
      <w:pPr>
        <w:pStyle w:val="Bibliography"/>
      </w:pPr>
      <w:r>
        <w:t xml:space="preserve">Egert,M.</w:t>
      </w:r>
      <w:r>
        <w:t xml:space="preserve"> </w:t>
      </w:r>
      <w:r>
        <w:rPr>
          <w:i/>
        </w:rPr>
        <w:t xml:space="preserve">et al.</w:t>
      </w:r>
      <w:r>
        <w:t xml:space="preserve"> </w:t>
      </w:r>
      <w:r>
        <w:t xml:space="preserve">(2015) Bacteria on smartphone touchscreens in a german university setting and evaluation of two popular cleaning methods using commercially available cleaning products.</w:t>
      </w:r>
      <w:r>
        <w:t xml:space="preserve"> </w:t>
      </w:r>
      <w:r>
        <w:rPr>
          <w:i/>
        </w:rPr>
        <w:t xml:space="preserve">Folia microbiologica</w:t>
      </w:r>
      <w:r>
        <w:t xml:space="preserve">,</w:t>
      </w:r>
      <w:r>
        <w:t xml:space="preserve"> </w:t>
      </w:r>
      <w:r>
        <w:rPr>
          <w:b/>
        </w:rPr>
        <w:t xml:space="preserve">60</w:t>
      </w:r>
      <w:r>
        <w:t xml:space="preserve">, 159–164.</w:t>
      </w:r>
    </w:p>
    <w:bookmarkEnd w:id="57"/>
    <w:bookmarkStart w:id="58" w:name="ref-ezoe2009relationships"/>
    <w:p>
      <w:pPr>
        <w:pStyle w:val="Bibliography"/>
      </w:pPr>
      <w:r>
        <w:t xml:space="preserve">Ezoe,S.</w:t>
      </w:r>
      <w:r>
        <w:t xml:space="preserve"> </w:t>
      </w:r>
      <w:r>
        <w:rPr>
          <w:i/>
        </w:rPr>
        <w:t xml:space="preserve">et al.</w:t>
      </w:r>
      <w:r>
        <w:t xml:space="preserve"> </w:t>
      </w:r>
      <w:r>
        <w:t xml:space="preserve">(2009) Relationships of personality and lifestyle with mobile phone dependence among female nursing students.</w:t>
      </w:r>
      <w:r>
        <w:t xml:space="preserve"> </w:t>
      </w:r>
      <w:r>
        <w:rPr>
          <w:i/>
        </w:rPr>
        <w:t xml:space="preserve">Social Behavior and Personality: an international journal</w:t>
      </w:r>
      <w:r>
        <w:t xml:space="preserve">,</w:t>
      </w:r>
      <w:r>
        <w:t xml:space="preserve"> </w:t>
      </w:r>
      <w:r>
        <w:rPr>
          <w:b/>
        </w:rPr>
        <w:t xml:space="preserve">37</w:t>
      </w:r>
      <w:r>
        <w:t xml:space="preserve">, 231–238.</w:t>
      </w:r>
    </w:p>
    <w:bookmarkEnd w:id="58"/>
    <w:bookmarkStart w:id="59"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9"/>
    <w:bookmarkStart w:id="60"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60"/>
    <w:bookmarkStart w:id="61"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61"/>
    <w:bookmarkStart w:id="62"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62"/>
    <w:bookmarkStart w:id="63"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63"/>
    <w:bookmarkStart w:id="64"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64"/>
    <w:bookmarkStart w:id="65"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65"/>
    <w:bookmarkStart w:id="66"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6"/>
    <w:bookmarkStart w:id="67"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7"/>
    <w:bookmarkStart w:id="68"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8"/>
    <w:bookmarkStart w:id="69"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9"/>
    <w:bookmarkStart w:id="70"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70"/>
    <w:bookmarkStart w:id="71"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71"/>
    <w:bookmarkStart w:id="72"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72"/>
    <w:bookmarkStart w:id="73"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73"/>
    <w:bookmarkStart w:id="74"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74"/>
    <w:bookmarkStart w:id="75"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75"/>
    <w:bookmarkStart w:id="76"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76"/>
    <w:bookmarkStart w:id="77"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7"/>
    <w:bookmarkStart w:id="78"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8"/>
    <w:bookmarkStart w:id="79" w:name="ref-ramesh2008use"/>
    <w:p>
      <w:pPr>
        <w:pStyle w:val="Bibliography"/>
      </w:pPr>
      <w:r>
        <w:t xml:space="preserve">Ramesh,J.</w:t>
      </w:r>
      <w:r>
        <w:t xml:space="preserve"> </w:t>
      </w:r>
      <w:r>
        <w:rPr>
          <w:i/>
        </w:rPr>
        <w:t xml:space="preserve">et al.</w:t>
      </w:r>
      <w:r>
        <w:t xml:space="preserve"> </w:t>
      </w:r>
      <w:r>
        <w:t xml:space="preserve">(2008) Use of mobile phones by medical staff at queen elizabeth hospital, barbados: Evidence for both benefit and harm.</w:t>
      </w:r>
      <w:r>
        <w:t xml:space="preserve"> </w:t>
      </w:r>
      <w:r>
        <w:rPr>
          <w:i/>
        </w:rPr>
        <w:t xml:space="preserve">Journal of Hospital Infection</w:t>
      </w:r>
      <w:r>
        <w:t xml:space="preserve">,</w:t>
      </w:r>
      <w:r>
        <w:t xml:space="preserve"> </w:t>
      </w:r>
      <w:r>
        <w:rPr>
          <w:b/>
        </w:rPr>
        <w:t xml:space="preserve">70</w:t>
      </w:r>
      <w:r>
        <w:t xml:space="preserve">, 160–165.</w:t>
      </w:r>
    </w:p>
    <w:bookmarkEnd w:id="79"/>
    <w:bookmarkStart w:id="80"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80"/>
    <w:bookmarkStart w:id="81"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81"/>
    <w:bookmarkStart w:id="82"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82"/>
    <w:bookmarkStart w:id="83"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1" Target="media/rId41.jpg" /><Relationship Type="http://schemas.openxmlformats.org/officeDocument/2006/relationships/image" Id="rId40" Target="media/rId40.jpg" /><Relationship Type="http://schemas.openxmlformats.org/officeDocument/2006/relationships/image" Id="rId39" Target="media/rId3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2019-12-13T00:18:00Z</dcterms:created>
  <dcterms:modified xsi:type="dcterms:W3CDTF">2019-12-13T00:18:00Z</dcterms:modified>
</cp:coreProperties>
</file>