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45.png" ContentType="image/png"/>
  <Override PartName="/word/media/rId44.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conducted two rounds of PCR to amplify the DNA samples for both my culture and culture-free samples, and gel electrophoresis to separate the DNA fragments. I, also, used Qubit to quantify DNA concentrations. Sanger sequencing was, then, used to sequence the cultured DNA samples. With these successful results, I used BLAST to run my samples against the NCBI database and figure out what strains my were. Illumina sequencing was conducted with the culture-free DNA samples and also identified using the DADA2 pipeline.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similar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from my cultured samples via BLAST.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from my culture-free samples via the DADA2 pipeline.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w:t>
      </w:r>
      <w:r>
        <w:t xml:space="preserve"> </w:t>
      </w:r>
      <w:r>
        <w:t xml:space="preserve">(Callahan</w:t>
      </w:r>
      <w:r>
        <w:t xml:space="preserve"> </w:t>
      </w:r>
      <w:r>
        <w:rPr>
          <w:i/>
        </w:rPr>
        <w:t xml:space="preserve">et al.</w:t>
      </w:r>
      <w:r>
        <w:t xml:space="preserve">, 2016)</w:t>
      </w:r>
      <w:r>
        <w:t xml:space="preserve">.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r>
        <w:t xml:space="preserve"> </w:t>
      </w:r>
      <w:r>
        <w:t xml:space="preserve">(McMurdie and Holmes, 2013)</w:t>
      </w:r>
      <w:r>
        <w:t xml:space="preserve">.</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To gather my culture sample results, I cultured colonies from the samples I collected, extracted and quantified the DNA using Qubit, conducted PCR and gel electrophoresis. Once this was done and Sanger sequencing was done, I trimmed and cleaned the sequences. Then, I used MAFFT to align these sequences and later created a Maximum Likelihood phylogeny and a Bayesian phylogeny. Finally, I ran the successful samples through the NCBI’s BLAST tool to identify exactly what bacteria I had gathered.</w:t>
      </w:r>
    </w:p>
    <w:p>
      <w:pPr>
        <w:pStyle w:val="BodyText"/>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To gather my results for my culture-free samples, I analyzed the sequence qualities by running FastQC reports. I, then, cleaned and trimmed my sequences using Trimmomatic. Once again, my samples were run through the BLAST tool to identify the bacterial strain and later determine the amount of varying taxa within each of my samples. I was also able to determine the most commonly occurring taxa and genera, as well as the number of sequences present.</w:t>
      </w:r>
    </w:p>
    <w:p>
      <w:pPr>
        <w:pStyle w:val="BodyText"/>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I also ran FastQC reports on my culture-free samples and determined the sequence quality. None of my samples were flagged as poor quality. Sample</w:t>
      </w:r>
      <w:r>
        <w:t xml:space="preserve"> </w:t>
      </w:r>
      <w:r>
        <w:t xml:space="preserve">“</w:t>
      </w:r>
      <w:r>
        <w:t xml:space="preserve">AG</w:t>
      </w:r>
      <w:r>
        <w:t xml:space="preserve">”</w:t>
      </w:r>
      <w:r>
        <w:t xml:space="preserve"> </w:t>
      </w:r>
      <w:r>
        <w:t xml:space="preserve">had a total of 15604 sequences and the %GC was 51%. Sample</w:t>
      </w:r>
      <w:r>
        <w:t xml:space="preserve"> </w:t>
      </w:r>
      <w:r>
        <w:t xml:space="preserve">“</w:t>
      </w:r>
      <w:r>
        <w:t xml:space="preserve">JI</w:t>
      </w:r>
      <w:r>
        <w:t xml:space="preserve">”</w:t>
      </w:r>
      <w:r>
        <w:t xml:space="preserve"> </w:t>
      </w:r>
      <w:r>
        <w:t xml:space="preserve">had a total of 13319 sequences and the %GC was 52%. Sample</w:t>
      </w:r>
      <w:r>
        <w:t xml:space="preserve"> </w:t>
      </w:r>
      <w:r>
        <w:t xml:space="preserve">“</w:t>
      </w:r>
      <w:r>
        <w:t xml:space="preserve">SB</w:t>
      </w:r>
      <w:r>
        <w:t xml:space="preserve">”</w:t>
      </w:r>
      <w:r>
        <w:t xml:space="preserve"> </w:t>
      </w:r>
      <w:r>
        <w:t xml:space="preserve">had a total of 11685 sequences and the %GC was 50%. Sample</w:t>
      </w:r>
      <w:r>
        <w:t xml:space="preserve"> </w:t>
      </w:r>
      <w:r>
        <w:t xml:space="preserve">“</w:t>
      </w:r>
      <w:r>
        <w:t xml:space="preserve">Prof EY</w:t>
      </w:r>
      <w:r>
        <w:t xml:space="preserve">”</w:t>
      </w:r>
      <w:r>
        <w:t xml:space="preserve"> </w:t>
      </w:r>
      <w:r>
        <w:t xml:space="preserve">had a total of 17265 sequences and the %GC was 52%. Sample</w:t>
      </w:r>
      <w:r>
        <w:t xml:space="preserve"> </w:t>
      </w:r>
      <w:r>
        <w:t xml:space="preserve">“</w:t>
      </w:r>
      <w:r>
        <w:t xml:space="preserve">Prof NT</w:t>
      </w:r>
      <w:r>
        <w:t xml:space="preserve">”</w:t>
      </w:r>
      <w:r>
        <w:t xml:space="preserve"> </w:t>
      </w:r>
      <w:r>
        <w:t xml:space="preserve">had a total of 13229 sequences and the %GC was 52%. Finally, sample</w:t>
      </w:r>
      <w:r>
        <w:t xml:space="preserve"> </w:t>
      </w:r>
      <w:r>
        <w:t xml:space="preserve">“</w:t>
      </w:r>
      <w:r>
        <w:t xml:space="preserve">Prof SS</w:t>
      </w:r>
      <w:r>
        <w:t xml:space="preserve">”</w:t>
      </w:r>
      <w:r>
        <w:t xml:space="preserve"> </w:t>
      </w:r>
      <w:r>
        <w:t xml:space="preserve">had a total of 13521 sequences and the %GC was, also, 52%. These reports show that my sequences were good quality and, therefore, strengthens and supports my findings.</w:t>
      </w:r>
    </w:p>
    <w:p>
      <w:pPr>
        <w:pStyle w:val="BodyText"/>
      </w:pPr>
      <w:r>
        <w:t xml:space="preserve">For my culture-free samples using Illumina sequencing,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BodyText"/>
      </w:pPr>
      <w:r>
        <w:t xml:space="preserve">I ran my data set through the DADA pipeline. This removed extra sequences, counted the number of chimeras, and the total Amplicon Sequence Variants. The pipelines was also used to determine the taxonomy of each sample. The DADA pipeline identified 84 bimeras out of 775 input sequences. I had 91.61 nonchimeric reads, therefore, I had 8.39 chimeric reads.</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on them every place they go. I, also, hypothesized that student cellphones would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 When looking at my culture data, BLAST determined the bacteria to be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When looking at my culture-free data, however, I did not have the same results. I found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BLAST in my culture-free samples. The results from the DADA pipeline varied slightly with my BLAST results. The DADA pipeline results showed that the most common Phyla amongst both sample groups were Actinobacteria, Bacilli, Gammaproteobacteria. Of these, only Bacilli is a phylum that is potentially pathogenic to humans.</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 To carry this research forward, this project could be replicated with larger sample groups to ensure that these findings are well-supported. Furthermore, the scope could also be broadened to other, commonly-used technology such as laptops or at-home, desktop computers. This would also further support the need to maintain proper hygienic habits for all personal technology.</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 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 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rPr>
                <w:i/>
              </w:rP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rPr>
                <w:i/>
              </w:rP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rPr>
                <w:i/>
              </w:rP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rPr>
                <w:i/>
              </w:rP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rPr>
                <w:i/>
              </w:rP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rPr>
                <w:i/>
              </w:rP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char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4"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4"/>
    <w:bookmarkStart w:id="55"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5"/>
    <w:bookmarkStart w:id="56"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6"/>
    <w:bookmarkStart w:id="57"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7"/>
    <w:bookmarkStart w:id="58"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8"/>
    <w:bookmarkStart w:id="59"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9"/>
    <w:bookmarkStart w:id="60"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60"/>
    <w:bookmarkStart w:id="61"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1"/>
    <w:bookmarkStart w:id="6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2"/>
    <w:bookmarkStart w:id="6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3"/>
    <w:bookmarkStart w:id="6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4"/>
    <w:bookmarkStart w:id="6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5"/>
    <w:bookmarkStart w:id="6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6"/>
    <w:bookmarkStart w:id="6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7"/>
    <w:bookmarkStart w:id="6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8"/>
    <w:bookmarkStart w:id="6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9"/>
    <w:bookmarkStart w:id="7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70"/>
    <w:bookmarkStart w:id="7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1"/>
    <w:bookmarkStart w:id="7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2"/>
    <w:bookmarkStart w:id="7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3"/>
    <w:bookmarkStart w:id="7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4"/>
    <w:bookmarkStart w:id="7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5"/>
    <w:bookmarkStart w:id="7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6"/>
    <w:bookmarkStart w:id="7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7"/>
    <w:bookmarkStart w:id="7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8"/>
    <w:bookmarkStart w:id="79"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9"/>
    <w:bookmarkStart w:id="80"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80"/>
    <w:bookmarkStart w:id="81"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Start w:id="83"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2019-12-13T00:22:02Z</dcterms:created>
  <dcterms:modified xsi:type="dcterms:W3CDTF">2019-12-13T00:22:02Z</dcterms:modified>
</cp:coreProperties>
</file>