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2.png" ContentType="image/png"/>
  <Override PartName="/word/media/rId46.png" ContentType="image/png"/>
  <Override PartName="/word/media/rId45.png" ContentType="image/png"/>
  <Override PartName="/word/media/rId44.png" ContentType="image/png"/>
  <Override PartName="/word/media/rId43.png" ContentType="image/png"/>
  <Override PartName="/word/media/rId41.jpg" ContentType="image/jpeg"/>
  <Override PartName="/word/media/rId40.jpg" ContentType="image/jpe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December</w:t>
      </w:r>
      <w:r>
        <w:t xml:space="preserve"> </w:t>
      </w:r>
      <w:r>
        <w:t xml:space="preserve">13,</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 to communicate with others. Today, with the evolution to the cellphone, the role of the typical phone has drastically expanded from its intended use, to call or to text someone. It’s now used as a GPS device, to browse the internet, play games, listen to music, and much more</w:t>
      </w:r>
      <w:r>
        <w:t xml:space="preserve"> </w:t>
      </w:r>
      <w:r>
        <w:t xml:space="preserve">(Lonkila and Gladarev, 2008)</w:t>
      </w:r>
      <w:r>
        <w:t xml:space="preserve">. Due to all of these new applications and the evolution of the traditional phone, cellphones are being used almost all day, everyday by their owners. This daily use and the benefits provided by a cellphone, causes individuals to overlook cellphone hygiene, or even consider the large amount of bacteria that accumulates on the screen of their phones.</w:t>
      </w:r>
    </w:p>
    <w:p>
      <w:pPr>
        <w:pStyle w:val="BodyText"/>
      </w:pPr>
      <w:r>
        <w:t xml:space="preserve">Studies have been done in clinical settings, showing how healthcare professionals use their cellphones throughout the day, both before and after assessing patients. This resulted in a significant transfer of bacteria, since most cellphone users, healthcare workers included, do not clean their cellphone screens</w:t>
      </w:r>
      <w:r>
        <w:t xml:space="preserve"> </w:t>
      </w:r>
      <w:r>
        <w:t xml:space="preserve">(Arora</w:t>
      </w:r>
      <w:r>
        <w:t xml:space="preserve"> </w:t>
      </w:r>
      <w:r>
        <w:rPr>
          <w:i/>
        </w:rPr>
        <w:t xml:space="preserve">et al.</w:t>
      </w:r>
      <w:r>
        <w:t xml:space="preserve">, 2009)</w:t>
      </w:r>
      <w:r>
        <w:t xml:space="preserve">. It was found that out of 116 medical staff and students, almost 98% used their cellphone throughout the day and in the office, and 4% used them while attending to patients. From this group, around 53% Of 266 medical staff and students at the time of the study, 116 completed questionnaires (response rate = 44%). Almost all (98%) used mobile phones: 67% used their mobile phones for hospital-related matters; 47% reported using their phone while attending patients. Only 3% reported washing their hands after use and 53% reported never cleaning their phone</w:t>
      </w:r>
      <w:r>
        <w:t xml:space="preserve"> </w:t>
      </w:r>
      <w:r>
        <w:t xml:space="preserve">(Ramesh</w:t>
      </w:r>
      <w:r>
        <w:t xml:space="preserve"> </w:t>
      </w:r>
      <w:r>
        <w:rPr>
          <w:i/>
        </w:rPr>
        <w:t xml:space="preserve">et al.</w:t>
      </w:r>
      <w:r>
        <w:t xml:space="preserve">, 2008)</w:t>
      </w:r>
      <w:r>
        <w:t xml:space="preserve">. Especially in a medical setting, this can cause more diseases and more infection. Healthcare workers have been found to transmit nosocomial infections via their medical equipment and mobile phones</w:t>
      </w:r>
      <w:r>
        <w:t xml:space="preserve"> </w:t>
      </w:r>
      <w:r>
        <w:t xml:space="preserve">(Kumar and Aswathy, 2014)</w:t>
      </w:r>
      <w:r>
        <w:t xml:space="preserve">. This puts not only cellphone users at risk, but the patients, the health care workers and their families as well.</w:t>
      </w:r>
    </w:p>
    <w:p>
      <w:pPr>
        <w:pStyle w:val="BodyText"/>
      </w:pPr>
      <w:r>
        <w:t xml:space="preserve">However, healthcare workers are not the only ones with phones carrying bacteria, studies have shown that with a general cellphone user, there is 10x more bacteria on a cellphone screen than a toilet seat</w:t>
      </w:r>
      <w:r>
        <w:t xml:space="preserve"> </w:t>
      </w:r>
      <w:r>
        <w:t xml:space="preserve">(Akinyemi</w:t>
      </w:r>
      <w:r>
        <w:t xml:space="preserve"> </w:t>
      </w:r>
      <w:r>
        <w:rPr>
          <w:i/>
        </w:rPr>
        <w:t xml:space="preserve">et al.</w:t>
      </w:r>
      <w:r>
        <w:t xml:space="preserve">, 2009)</w:t>
      </w:r>
      <w:r>
        <w:t xml:space="preserve">. Aside from clinical settings, I aimed to focus on a school setting to see whether cellphones used by students and professors also carried pathogenic bacteria. Middle school students’cellphones have been found to have a median of 17,032 bacterial 16S rRNA gene copies per phone. Additionally,out of the number of bacteria found on these phones, a significant number were found to be 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 of secondary school students, with over 94.5% of cellphones demonstrating 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 University focused on the actual spread of bacterial infections through the use of cellphones. Through this study they found a high percentage (62.0%) of bacterial infection being spread solely through cellphones and the lack of cleaning this technology</w:t>
      </w:r>
      <w:r>
        <w:t xml:space="preserve"> </w:t>
      </w:r>
      <w:r>
        <w:t xml:space="preserve">(Akinyemi</w:t>
      </w:r>
      <w:r>
        <w:t xml:space="preserve"> </w:t>
      </w:r>
      <w:r>
        <w:rPr>
          <w:i/>
        </w:rPr>
        <w:t xml:space="preserve">et al.</w:t>
      </w:r>
      <w:r>
        <w:t xml:space="preserve">, 2009)</w:t>
      </w:r>
      <w:r>
        <w:t xml:space="preserve">. This shows the significance of the bacterial presence on cellphones. I wanted to find out the relevance of this issue in a school setting, and whether or not pathogens would still be found on cellphones outside of clinical settings.</w:t>
      </w:r>
    </w:p>
    <w:p>
      <w:pPr>
        <w:pStyle w:val="BodyText"/>
      </w:pPr>
      <w:r>
        <w:t xml:space="preserve">Furthermore, studies show that simply by cleaning your cellphones, you can drastically decrease the amount of bacteria growing on your phones. A study conducted by a German university found that cellphone screens that had been cleaned or wiped a with a microfiber cloth or alcohol-impregnated lens wipes had significantly less bacterial colonies found than cellphone screens that remained uncleaned</w:t>
      </w:r>
      <w:r>
        <w:t xml:space="preserve"> </w:t>
      </w:r>
      <w:r>
        <w:t xml:space="preserve">(Egert</w:t>
      </w:r>
      <w:r>
        <w:t xml:space="preserve"> </w:t>
      </w:r>
      <w:r>
        <w:rPr>
          <w:i/>
        </w:rPr>
        <w:t xml:space="preserve">et al.</w:t>
      </w:r>
      <w:r>
        <w:t xml:space="preserve">, 2015)</w:t>
      </w:r>
      <w:r>
        <w:t xml:space="preserve">. The same study was able to identify bacteria found on these cellphones to normally colonize on human skin, lungs, and mouth. They also were able to detect bacteria found in human fecal matter.</w:t>
      </w:r>
    </w:p>
    <w:p>
      <w:pPr>
        <w:pStyle w:val="BodyText"/>
      </w:pPr>
      <w:r>
        <w:t xml:space="preserve">One of the main goals of this project was to find one of the potential reasons college students get sick and how these illnesses could spread quickly across campuses. A majority of college students are known to have unhealthy habits, whether its an unhealthy diet, or not exercising. With intense amounts of stress piled on top, this leads to a weakened immune system, and, therefore, leaves a large number of college students easily susceptible and prone to illnesses</w:t>
      </w:r>
      <w:r>
        <w:t xml:space="preserve"> </w:t>
      </w:r>
      <w:r>
        <w:t xml:space="preserve">(Hudd</w:t>
      </w:r>
      <w:r>
        <w:t xml:space="preserve"> </w:t>
      </w:r>
      <w:r>
        <w:rPr>
          <w:i/>
        </w:rPr>
        <w:t xml:space="preserve">et al.</w:t>
      </w:r>
      <w:r>
        <w:t xml:space="preserve">, 2000)</w:t>
      </w:r>
      <w:r>
        <w:t xml:space="preserve">. Since almost all students have a cellphone on them everyday, I thought that this project would be extremely relevant and helpful.</w:t>
      </w:r>
    </w:p>
    <w:p>
      <w:pPr>
        <w:pStyle w:val="BodyText"/>
      </w:pPr>
      <w:r>
        <w:t xml:space="preserve">The purpose of my project was to show the importance of hygeine with an individual’s technology, especially cellphones since we carry them around everywhere on a daily basis. My project focuses on identifying the type of bacteria and amount bacterial colonies on the cell phone screens of students at the University of San Francisco compared to those found on the cellphone screens of professors at the same university. This is to see whether or not phones carry potential pathogens, which are disease-causing bacteria, outside of a clinical setting</w:t>
      </w:r>
      <w:r>
        <w:t xml:space="preserve"> </w:t>
      </w:r>
      <w:r>
        <w:t xml:space="preserve">(Schmidtchen</w:t>
      </w:r>
      <w:r>
        <w:t xml:space="preserve"> </w:t>
      </w:r>
      <w:r>
        <w:rPr>
          <w:i/>
        </w:rPr>
        <w:t xml:space="preserve">et al.</w:t>
      </w:r>
      <w:r>
        <w:t xml:space="preserve">, 2002)</w:t>
      </w:r>
      <w:r>
        <w:t xml:space="preserve">.</w:t>
      </w:r>
    </w:p>
    <w:p>
      <w:pPr>
        <w:pStyle w:val="BodyText"/>
      </w:pPr>
      <w:r>
        <w:t xml:space="preserve">College students are notorious for having bad hygeine and lifestyle habits</w:t>
      </w:r>
      <w:r>
        <w:t xml:space="preserve"> </w:t>
      </w:r>
      <w:r>
        <w:t xml:space="preserve">(Dodd</w:t>
      </w:r>
      <w:r>
        <w:t xml:space="preserve"> </w:t>
      </w:r>
      <w:r>
        <w:rPr>
          <w:i/>
        </w:rPr>
        <w:t xml:space="preserve">et al.</w:t>
      </w:r>
      <w:r>
        <w:t xml:space="preserve">, 2010)</w:t>
      </w:r>
      <w:r>
        <w:t xml:space="preserve">. From eating unhealthy food and not exercising, to not cleaning up their living spaces, I expect to find a significantly large amount of different bacterial colonies on their cellphone screens. In fact, a study conducted in Japan found that students with a more unhealthy lifestyle tend to spend an increased time on their cellphones</w:t>
      </w:r>
      <w:r>
        <w:t xml:space="preserve"> </w:t>
      </w:r>
      <w:r>
        <w:t xml:space="preserve">(Ezoe</w:t>
      </w:r>
      <w:r>
        <w:t xml:space="preserve"> </w:t>
      </w:r>
      <w:r>
        <w:rPr>
          <w:i/>
        </w:rPr>
        <w:t xml:space="preserve">et al.</w:t>
      </w:r>
      <w:r>
        <w:t xml:space="preserve">, 2009)</w:t>
      </w:r>
      <w:r>
        <w:t xml:space="preserve">. Also, these cellphones were tested for pathogenic bacteria, and they identified that students who had spent an increased amount of time on their cellphones, clearly had more potentially pathogenic bacteria found on their screens.</w:t>
      </w:r>
    </w:p>
    <w:p>
      <w:pPr>
        <w:pStyle w:val="BodyText"/>
      </w:pPr>
      <w:r>
        <w:t xml:space="preserve">Thus, this experiment can help build a correlation between how illnesses are spread on college campuses and technology usage. I will specifically focus on the 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 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 example, is a dangerous pathogen. This bacteria is known to cause endovascular disorders, bone and joint disorders, respiratory issues, as well as skin 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 human intestine as well as other animals. is transmitted through contamination of food, such a raw meats, or through the contact with fecal matter.</w:t>
      </w:r>
    </w:p>
    <w:p>
      <w:pPr>
        <w:pStyle w:val="BodyText"/>
      </w:pPr>
      <w:r>
        <w:t xml:space="preserve">My questions for this project were: Do cellphones really carry potential pathogens? Do students have a higher amount of bacteria on their cellphones compared to professors? My hypothesis is that all cellphones will carry potential pathogens and student cellphones will have a significantly higher amount of potential pathogens compared to professor cellphones.</w:t>
      </w:r>
    </w:p>
    <w:p>
      <w:pPr>
        <w:pStyle w:val="BodyText"/>
      </w:pPr>
      <w:r>
        <w:t xml:space="preserve">To test this hypothesis, I gathered a total of 6 samples using a sterile swab dipped in phosphate buffer solution. 3 of these samples were from different students and the remaining 3 samples were collected different professors. Once my samples were collected, I diluted each sample with PBS to 1x, 10x, and 100x and then cultured these samples on an agar dish. The two sets of samples, both the culture samples and the culture-free samples were After incubation, I used PCR to amplify the DNA samples and gel electrophoresis to separate the DNA fragments. I, also, used Qubit to quantify DNA concentrations. Sanger sequencingwas, then, used to sequence the cultured DNA samples. With these successful results, I used BLAST to run my samples against the NCBI database and figure outwhat strains my were. Illumina sequencing was conducted with the culture-free DNA samples. Once all my results were sequenced, I edited them through Geneious Prime, used an alignment tool, MAFFT</w:t>
      </w:r>
      <w:r>
        <w:t xml:space="preserve"> </w:t>
      </w:r>
      <w:r>
        <w:t xml:space="preserve">(Katoh and Standley, 2013)</w:t>
      </w:r>
      <w:r>
        <w:t xml:space="preserve">, and built phylogenies 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and professor cellphones had a similr amount of colonies. Also, the number of morphotypes on cellphone screens was found to be similar for both professor cellphone and student cellphones.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 students or professors. However, two different types of</w:t>
      </w:r>
      <w:r>
        <w:t xml:space="preserve"> </w:t>
      </w:r>
      <w:r>
        <w:rPr>
          <w:i/>
        </w:rPr>
        <w:t xml:space="preserve">Staphylococcus</w:t>
      </w:r>
      <w:r>
        <w:t xml:space="preserve"> </w:t>
      </w:r>
      <w:r>
        <w:t xml:space="preserve">were detected. Other bacteria which were not expected to be found,</w:t>
      </w:r>
      <w:r>
        <w:t xml:space="preserve"> </w:t>
      </w:r>
      <w:r>
        <w:rPr>
          <w:i/>
        </w:rPr>
        <w:t xml:space="preserve">Kocuria palustris</w:t>
      </w:r>
      <w:r>
        <w:t xml:space="preserve">,</w:t>
      </w:r>
      <w:r>
        <w:t xml:space="preserve"> </w:t>
      </w:r>
      <w:r>
        <w:rPr>
          <w:i/>
        </w:rPr>
        <w:t xml:space="preserve">Mycoplasma wenyonii</w:t>
      </w:r>
      <w:r>
        <w:t xml:space="preserve">, and</w:t>
      </w:r>
      <w:r>
        <w:t xml:space="preserve"> </w:t>
      </w:r>
      <w:r>
        <w:rPr>
          <w:i/>
        </w:rPr>
        <w:t xml:space="preserve">Streptococcus</w:t>
      </w:r>
      <w:r>
        <w:t xml:space="preserve"> </w:t>
      </w:r>
      <w:r>
        <w:t xml:space="preserve">were also detected. I concluded that although the number of morphotypes and colony abundance was relatively similar for both sample groups, there was a significant amount of pathogens detected throughout both sample groups.</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 (PBS), 12 1.5mL tubes, sterile swabs, and latex gloves. For this project, I collected a total of twelve samples, two samples per cellphone. I collected samples from 3 student cellphones and 3 professor cellphones, giving me a total of 6 cellphone screen samples. The samples were collected from students and faculty at the University of San Francisco, located in San Francisco, CA. To collect my samples, I used a sterile swab dipped in the buffer solution. I, then, swabbed the entire front screen of each phone for 30 seconds and then stored the swab in a sterile tube. Once I finished collecting all my samples, I broke off the portion of the swab with my 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 solution, and then cultured. I used 18 100 mm TSA plates for plating samples from each of my 2 treatments (n = 3 per group, 6 total). Then, I pipetted 100 μL of each sample 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 and then analyzed for the number of morphotypes present and the amount of colonies.</w:t>
      </w:r>
    </w:p>
    <w:p>
      <w:pPr>
        <w:pStyle w:val="BodyText"/>
      </w:pPr>
      <w:r>
        <w:t xml:space="preserve">For DNA extraction, I followed the manufacturer’s protocol from the Sigma REDExtract-N-Amp Kit</w:t>
      </w:r>
      <w:r>
        <w:t xml:space="preserve"> </w:t>
      </w:r>
      <w:r>
        <w:t xml:space="preserve">(Kreader</w:t>
      </w:r>
      <w:r>
        <w:t xml:space="preserve"> </w:t>
      </w:r>
      <w:r>
        <w:rPr>
          <w:i/>
        </w:rPr>
        <w:t xml:space="preserve">et al.</w:t>
      </w:r>
      <w:r>
        <w:t xml:space="preserve">, 2001)</w:t>
      </w:r>
      <w:r>
        <w:t xml:space="preserve">. From my TSA plate, using a toothpick, I scraped samples from the most secluded colonies, trying to avoid colonies that were in contact with one another to try to avoid contamination. After this, I pipetted 198 μL of the Qubit solution and 2 μL of my DNA extraction into a Qubit tube. After placing the Qubit solution and my sample in the Qubit tube, I vortexed this mixture for 5 seconds and incubated the tubes in the dark for 5 minutes. Once this was complete, I used the Qubit to analyze the amount of DNA 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 The master mix for the cultured samples included 10 μL of Amp, 0.8 μL of the 27f primer, 0.8 μL of 1492r primer, 1 μL of BSA, and 6.4 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 contained TAE buffer, SYBR safe dye, and a 2% agarose gel. Once the thermocycling was complete, the gel was carefully loaded with a pipette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 successful amplification using gel electrophoresis, PCR products were cleaned with ExoSAP (Invitrogen) and sent for unidirectional Sanger sequencing at MCLAB 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10 μL of Amp, 0.8 μL 10 μM iseq 16sF primer, 0.8 μL 10 μM iseq 16sR primer, 1 μL BSA, and 6.4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and run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w:t>
      </w:r>
      <w:r>
        <w:t xml:space="preserve"> </w:t>
      </w:r>
      <w:r>
        <w:t xml:space="preserve">(Meyer and Kircher, 2010)</w:t>
      </w:r>
      <w:r>
        <w:t xml:space="preserve"> </w:t>
      </w:r>
      <w:r>
        <w:t xml:space="preserve">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95°C for 30 s, 55°C for 30s, and 72°C for 30s, followed by a 5 minute elongation cycle at 72°C.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p>
    <w:p>
      <w:pPr>
        <w:pStyle w:val="Heading1"/>
      </w:pPr>
      <w:bookmarkStart w:id="31" w:name="results"/>
      <w:r>
        <w:t xml:space="preserve">Results</w:t>
      </w:r>
      <w:bookmarkEnd w:id="31"/>
    </w:p>
    <w:p>
      <w:pPr>
        <w:pStyle w:val="FirstParagraph"/>
      </w:pPr>
      <w:r>
        <w:t xml:space="preserve">There were two main methods used throughout this project:culture samples and Sanger sequencing as well as culture-free samples and Illumina sequencing. The main goal of this study was to not only identify the bacteria found on cellphone screens but also quantify colony abundance and morphotypes. I also wanted to figure out if any of the bacteria found in any of my samples were pathogenic. I was able to identify</w:t>
      </w:r>
      <w:r>
        <w:t xml:space="preserve"> </w:t>
      </w:r>
      <w:r>
        <w:rPr>
          <w:i/>
        </w:rPr>
        <w:t xml:space="preserve">Kocuria palustris</w:t>
      </w:r>
      <w:r>
        <w:t xml:space="preserve">,</w:t>
      </w:r>
      <w:r>
        <w:t xml:space="preserve"> </w:t>
      </w:r>
      <w:r>
        <w:rPr>
          <w:i/>
        </w:rPr>
        <w:t xml:space="preserve">Staphylococcus</w:t>
      </w:r>
      <w:r>
        <w:t xml:space="preserve">, and</w:t>
      </w:r>
      <w:r>
        <w:t xml:space="preserve"> </w:t>
      </w:r>
      <w:r>
        <w:rPr>
          <w:i/>
        </w:rPr>
        <w:t xml:space="preserve">Staphylococcus epidermis</w:t>
      </w:r>
      <w:r>
        <w:t xml:space="preserve"> </w:t>
      </w:r>
      <w:r>
        <w:t xml:space="preserve">via Sanger sequencing. I also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via Illumina sequencing. The only bacteria identified that was consistent in both methods was</w:t>
      </w:r>
      <w:r>
        <w:t xml:space="preserve"> </w:t>
      </w:r>
      <w:r>
        <w:rPr>
          <w:i/>
        </w:rPr>
        <w:t xml:space="preserve">Staphylococcus</w:t>
      </w:r>
      <w:r>
        <w:t xml:space="preserve">, the rest of the results were inconsistent.</w:t>
      </w:r>
    </w:p>
    <w:p>
      <w:pPr>
        <w:pStyle w:val="Heading2"/>
      </w:pPr>
      <w:bookmarkStart w:id="32" w:name="culture-sample-and-sanger-sequencing-results"/>
      <w:r>
        <w:t xml:space="preserve">Culture Sample and Sanger Sequencing Results</w:t>
      </w:r>
      <w:bookmarkEnd w:id="32"/>
    </w:p>
    <w:p>
      <w:pPr>
        <w:pStyle w:val="FirstParagraph"/>
      </w:pPr>
      <w:r>
        <w:t xml:space="preserve">Using BLAST to identify my Sanger sequences,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 accuracy of 98.88% (Table 1). After loading the files onto Geneious, I found that only 3 out of my 6 samples were usable (Table 2). The Qubit data is the amount of DNA present in each sample, or the DNA concentration. Specifically, samples</w:t>
      </w:r>
      <w:r>
        <w:t xml:space="preserve"> </w:t>
      </w:r>
      <w:r>
        <w:t xml:space="preserve">“</w:t>
      </w:r>
      <w:r>
        <w:t xml:space="preserve">JI, Prof SS 1-10, and Prof EY</w:t>
      </w:r>
      <w:r>
        <w:t xml:space="preserve">”</w:t>
      </w:r>
      <w:r>
        <w:t xml:space="preserve"> </w:t>
      </w:r>
      <w:r>
        <w:t xml:space="preserve">of the cultured samples had relatively high DNA concentrations (Table 3). The Qubit data from my culture-free samples also had relatively high DNA concentrations, with samples</w:t>
      </w:r>
      <w:r>
        <w:t xml:space="preserve"> </w:t>
      </w:r>
      <w:r>
        <w:t xml:space="preserve">“</w:t>
      </w:r>
      <w:r>
        <w:t xml:space="preserve">JI, Prof NT, and Prof EY</w:t>
      </w:r>
      <w:r>
        <w:t xml:space="preserve">”</w:t>
      </w:r>
      <w:r>
        <w:t xml:space="preserve"> </w:t>
      </w:r>
      <w:r>
        <w:t xml:space="preserve">having the highest Qubit values (Table 4).</w:t>
      </w:r>
    </w:p>
    <w:p>
      <w:pPr>
        <w:pStyle w:val="BodyText"/>
      </w:pPr>
      <w:r>
        <w:t xml:space="preserve">The median value of the number of colonies for professors was 6, compared to the median value of the number of colonies for students which was 37. Students also had a maximum value of colonies of 50 colonies compared to the maximum value of colonies for professors, which was near 25 (Figure 1). However, given the p-value of 1, there was no significant difference in the number of colonies between the two sample groups (Table 5, Wilcox p-value = 1). The median value of the number of morphotypes for professors was 1 with and a maximum value of 5 morphotypes. The median value of the number of morphotypes for students was 1, with the maximum value of 4. Both of these groups show a similar value for the number of morphotypes (Figure 2). There was no significant difference between the number of morphotypes for both sample groups (Table 6, Wilcox p-value = 1). Given both of these p-values, I failed to reject the null hypothesis. Therefore, I can conclude that although students seemed to have a higher number of colonies on their cellphones, the number of morphotypes between both sample groups was similar.</w:t>
      </w:r>
    </w:p>
    <w:p>
      <w:pPr>
        <w:pStyle w:val="BodyText"/>
      </w:pPr>
      <w:r>
        <w:t xml:space="preserve">The Maximum Likelihood phylogeny shows no support that the bacteria from my samples are from the same clade as</w:t>
      </w:r>
      <w:r>
        <w:t xml:space="preserve"> </w:t>
      </w:r>
      <w:r>
        <w:rPr>
          <w:i/>
        </w:rPr>
        <w:t xml:space="preserve">Thermus aquaticus</w:t>
      </w:r>
      <w:r>
        <w:t xml:space="preserve">. There is support, however, that two 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 shows that there is no support that the bacteria from my samples are from the same clade as</w:t>
      </w:r>
      <w:r>
        <w:t xml:space="preserve"> </w:t>
      </w:r>
      <w:r>
        <w:rPr>
          <w:i/>
        </w:rPr>
        <w:t xml:space="preserve">Thermus aquaticus</w:t>
      </w:r>
      <w:r>
        <w:t xml:space="preserve">. There is significant support showing that 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 which is understandable since they are both the same genus (Figure 4, posterior probability = 0.9976).</w:t>
      </w:r>
    </w:p>
    <w:p>
      <w:pPr>
        <w:pStyle w:val="BodyText"/>
      </w:pPr>
      <w:r>
        <w:t xml:space="preserve">In the gel electrophoresis image for the cultured DNA samples,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 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 Well 15 contained a negative control, which was pure water and the ladder was also included. The only bands that showed up were from samples</w:t>
      </w:r>
      <w:r>
        <w:t xml:space="preserve"> </w:t>
      </w:r>
      <w:r>
        <w:t xml:space="preserve">“</w:t>
      </w:r>
      <w:r>
        <w:t xml:space="preserve">Prof NT, Prof EY, and AG</w:t>
      </w:r>
      <w:r>
        <w:t xml:space="preserve">”</w:t>
      </w:r>
      <w:r>
        <w:t xml:space="preserve">. Furthermore, even though these bands did show, they were still faint (Figure 5). The rest of the samples showed no bands present in the image.</w:t>
      </w:r>
    </w:p>
    <w:p>
      <w:pPr>
        <w:pStyle w:val="Heading2"/>
      </w:pPr>
      <w:bookmarkStart w:id="33" w:name="culture-free-samples-and-illumina-sequencing-results"/>
      <w:r>
        <w:t xml:space="preserve">Culture-Free Samples and Illumina Sequencing Results</w:t>
      </w:r>
      <w:bookmarkEnd w:id="33"/>
    </w:p>
    <w:p>
      <w:pPr>
        <w:pStyle w:val="FirstParagraph"/>
      </w:pPr>
      <w:r>
        <w:t xml:space="preserve">In the gel electrophoresis image for the culture-free DNA samples, no bands showed at all. In fact, all of my samples remained in their wells (Figure 6). The ladder was also included as a reference.</w:t>
      </w:r>
    </w:p>
    <w:p>
      <w:pPr>
        <w:pStyle w:val="BodyText"/>
      </w:pPr>
      <w:r>
        <w:t xml:space="preserve">After loading my sequences into trimmomatic, I ended up with sequences that were trimmed, cleaned, and filtered. I found that my input reads for each of my samples were all above 10,000 sequences, and that after trimmomatic had run all of my sequences had a surviving percentage above 94%. The sample with the lowest input reads and the lowest surviving percentage was sample</w:t>
      </w:r>
      <w:r>
        <w:t xml:space="preserve"> </w:t>
      </w:r>
      <w:r>
        <w:t xml:space="preserve">“</w:t>
      </w:r>
      <w:r>
        <w:t xml:space="preserve">SB</w:t>
      </w:r>
      <w:r>
        <w:t xml:space="preserve">”</w:t>
      </w:r>
      <w:r>
        <w:t xml:space="preserve"> </w:t>
      </w:r>
      <w:r>
        <w:t xml:space="preserve">with an input read of 11685 and a surviving percentage of 94.21% (Table 7).</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Among these results,</w:t>
      </w:r>
      <w:r>
        <w:t xml:space="preserve"> </w:t>
      </w:r>
      <w:r>
        <w:rPr>
          <w:i/>
        </w:rPr>
        <w:t xml:space="preserve">Streptococcus salivarius</w:t>
      </w:r>
      <w:r>
        <w:t xml:space="preserve"> </w:t>
      </w:r>
      <w:r>
        <w:t xml:space="preserve">had the highest number of matched sequences at 30840 sequences, and</w:t>
      </w:r>
      <w:r>
        <w:t xml:space="preserve"> </w:t>
      </w:r>
      <w:r>
        <w:rPr>
          <w:i/>
        </w:rPr>
        <w:t xml:space="preserve">Staphylococcus aureus</w:t>
      </w:r>
      <w:r>
        <w:t xml:space="preserve"> </w:t>
      </w:r>
      <w:r>
        <w:t xml:space="preserve">had the highest amount of different taxa present with 279 different colonies (Table 8).</w:t>
      </w:r>
    </w:p>
    <w:p>
      <w:pPr>
        <w:pStyle w:val="BodyText"/>
      </w:pPr>
      <w:r>
        <w:t xml:space="preserve">The most abundant sequences amongst all my samples from both sample groups, were identified to be from the Phyla: Actinobacteria, Firmicutes, and Proteobacteria. There was also a large amount of sequences that were not able to be traced to their Phyla, and were ultimately unidentifiable (Figure 7). All my samples from both professors and students, plus the positive control had a top abundance of the Phylum Firmicutes. The negative control, which was just distilled PCR water, was found to have bacterial sequences in it. The top Phylum for the negative control was Proteobacteria (Table 9).</w:t>
      </w:r>
    </w:p>
    <w:p>
      <w:pPr>
        <w:pStyle w:val="BodyText"/>
      </w:pPr>
      <w:r>
        <w:t xml:space="preserve">The most abundant classes found amongst both samples groups were identified to be: Actinobacteria, Bacilli, Gammaproteobacteria (Figure 8). There was also a large amount of sequences which could not be identified, and were thus labeled</w:t>
      </w:r>
      <w:r>
        <w:t xml:space="preserve"> </w:t>
      </w:r>
      <w:r>
        <w:t xml:space="preserve">“</w:t>
      </w:r>
      <w:r>
        <w:t xml:space="preserve">N/A</w:t>
      </w:r>
      <w:r>
        <w:t xml:space="preserve">”</w:t>
      </w:r>
      <w:r>
        <w:t xml:space="preserve">. The highest sum abundance was Bacilli at 3000. There was no evidence of the following classes: Acidobacteria groups 1,4, and 7, Armatimonadia, Deinococci, Epsilonproteobacteria, Erysipeiotrichia, Gemmatimonadetes, Ktedonobacteria, and Verrucomicrobiae (Figure 8).</w:t>
      </w:r>
    </w:p>
    <w:p>
      <w:pPr>
        <w:pStyle w:val="BodyText"/>
      </w:pPr>
      <w:r>
        <w:t xml:space="preserve">The negative control sequences had a few that were unidentifiable, but also had sequences from the Phyla Proteobacteria, Firmicutes, and Actinobacteria. The positive control had sequences from the Phyla Proteobacteria and Firmicutes. Professor samples had sequences, some of which could not be identified, but also had sequences which were found to come from the Phyla Proteobacteria, Firmicutes, Chloroflexl, Bacteroidetes, and Actinobacteria (Figure 9). Student samples also had the same identification as professors, however they varied slightly in the abundance. In professor samples, there was a higher sum abundance of Firmicutes compared to the student samples (Figure 9).</w:t>
      </w:r>
    </w:p>
    <w:p>
      <w:pPr>
        <w:pStyle w:val="BodyText"/>
      </w:pPr>
      <w:r>
        <w:t xml:space="preserve">To look at specific pathogens, I found that each cellphone sample from both sample groups had some amount of</w:t>
      </w:r>
      <w:r>
        <w:t xml:space="preserve"> </w:t>
      </w:r>
      <w:r>
        <w:rPr>
          <w:i/>
        </w:rPr>
        <w:t xml:space="preserve">Streptococcus</w:t>
      </w:r>
      <w:r>
        <w:t xml:space="preserve"> </w:t>
      </w:r>
      <w:r>
        <w:t xml:space="preserve">present. Sample</w:t>
      </w:r>
      <w:r>
        <w:t xml:space="preserve"> </w:t>
      </w:r>
      <w:r>
        <w:t xml:space="preserve">“</w:t>
      </w:r>
      <w:r>
        <w:t xml:space="preserve">JI</w:t>
      </w:r>
      <w:r>
        <w:t xml:space="preserve">”</w:t>
      </w:r>
      <w:r>
        <w:t xml:space="preserve"> </w:t>
      </w:r>
      <w:r>
        <w:t xml:space="preserve">had the largest presence of</w:t>
      </w:r>
      <w:r>
        <w:t xml:space="preserve"> </w:t>
      </w:r>
      <w:r>
        <w:rPr>
          <w:i/>
        </w:rPr>
        <w:t xml:space="preserve">Streptococcus</w:t>
      </w:r>
      <w:r>
        <w:t xml:space="preserve"> </w:t>
      </w:r>
      <w:r>
        <w:t xml:space="preserve">and sample</w:t>
      </w:r>
      <w:r>
        <w:t xml:space="preserve"> </w:t>
      </w:r>
      <w:r>
        <w:t xml:space="preserve">“</w:t>
      </w:r>
      <w:r>
        <w:t xml:space="preserve">SB</w:t>
      </w:r>
      <w:r>
        <w:t xml:space="preserve">”</w:t>
      </w:r>
      <w:r>
        <w:t xml:space="preserve"> </w:t>
      </w:r>
      <w:r>
        <w:t xml:space="preserve">had the lowest number of strains found (Figure 10). I, also, found that each cellphone sample from both sample groups had presence of</w:t>
      </w:r>
      <w:r>
        <w:t xml:space="preserve"> </w:t>
      </w:r>
      <w:r>
        <w:rPr>
          <w:i/>
        </w:rPr>
        <w:t xml:space="preserve">Staphylococcus</w:t>
      </w:r>
      <w:r>
        <w:t xml:space="preserve"> </w:t>
      </w:r>
      <w:r>
        <w:t xml:space="preserve">present (Figure 11). Sample</w:t>
      </w:r>
      <w:r>
        <w:t xml:space="preserve"> </w:t>
      </w:r>
      <w:r>
        <w:t xml:space="preserve">“</w:t>
      </w:r>
      <w:r>
        <w:t xml:space="preserve">EY</w:t>
      </w:r>
      <w:r>
        <w:t xml:space="preserve">”</w:t>
      </w:r>
      <w:r>
        <w:t xml:space="preserve"> </w:t>
      </w:r>
      <w:r>
        <w:t xml:space="preserve">had the largest amount of this bacteria present on the cellphone screen and sample</w:t>
      </w:r>
      <w:r>
        <w:t xml:space="preserve"> </w:t>
      </w:r>
      <w:r>
        <w:t xml:space="preserve">“</w:t>
      </w:r>
      <w:r>
        <w:t xml:space="preserve">JI</w:t>
      </w:r>
      <w:r>
        <w:t xml:space="preserve">”</w:t>
      </w:r>
      <w:r>
        <w:t xml:space="preserve"> </w:t>
      </w:r>
      <w:r>
        <w:t xml:space="preserve">had the lowest amount of</w:t>
      </w:r>
      <w:r>
        <w:t xml:space="preserve"> </w:t>
      </w:r>
      <w:r>
        <w:rPr>
          <w:i/>
        </w:rPr>
        <w:t xml:space="preserve">Staphylococcus</w:t>
      </w:r>
      <w:r>
        <w:t xml:space="preserve"> </w:t>
      </w:r>
      <w:r>
        <w:t xml:space="preserve">present (Figure 11). It is interesting to see that sample</w:t>
      </w:r>
      <w:r>
        <w:t xml:space="preserve"> </w:t>
      </w:r>
      <w:r>
        <w:t xml:space="preserve">“</w:t>
      </w:r>
      <w:r>
        <w:t xml:space="preserve">JI</w:t>
      </w:r>
      <w:r>
        <w:t xml:space="preserve">”</w:t>
      </w:r>
      <w:r>
        <w:t xml:space="preserve"> </w:t>
      </w:r>
      <w:r>
        <w:t xml:space="preserve">had the highest amount of</w:t>
      </w:r>
      <w:r>
        <w:t xml:space="preserve"> </w:t>
      </w:r>
      <w:r>
        <w:rPr>
          <w:i/>
        </w:rPr>
        <w:t xml:space="preserve">Streptococcus</w:t>
      </w:r>
      <w:r>
        <w:t xml:space="preserve"> </w:t>
      </w:r>
      <w:r>
        <w:t xml:space="preserve">present, yet the lowest number of</w:t>
      </w:r>
      <w:r>
        <w:t xml:space="preserve"> </w:t>
      </w:r>
      <w:r>
        <w:rPr>
          <w:i/>
        </w:rPr>
        <w:t xml:space="preserve">Staphylococcus</w:t>
      </w:r>
      <w:r>
        <w:t xml:space="preserve"> </w:t>
      </w:r>
      <w:r>
        <w:t xml:space="preserve">bacteria present.</w:t>
      </w:r>
    </w:p>
    <w:p>
      <w:pPr>
        <w:pStyle w:val="Heading1"/>
      </w:pPr>
      <w:bookmarkStart w:id="34" w:name="discussion"/>
      <w:r>
        <w:t xml:space="preserve">Discussion</w:t>
      </w:r>
      <w:bookmarkEnd w:id="34"/>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every place they go. I also hypothesized that student cellphones will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on any of my samples. I did, however, find significant presence of</w:t>
      </w:r>
      <w:r>
        <w:t xml:space="preserve"> </w:t>
      </w:r>
      <w:r>
        <w:rPr>
          <w:i/>
        </w:rPr>
        <w:t xml:space="preserve">Staphylococcus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or</w:t>
      </w:r>
      <w:r>
        <w:t xml:space="preserve"> </w:t>
      </w:r>
      <w:r>
        <w:rPr>
          <w:i/>
        </w:rPr>
        <w:t xml:space="preserve">Staphylococcus</w:t>
      </w:r>
      <w:r>
        <w:t xml:space="preserve"> </w:t>
      </w:r>
      <w:r>
        <w:t xml:space="preserve">in any of my culture-free samples.</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By using trimmomatic to crop my illumina sequences and remove adapters, I found that my culture-free data remained above 93% intact. This means that each one of my samples survived (Table 7).</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9). The negative control also had a top Phylum match with Proteobacteria, with an abundance of 11261. (Table 9). This indicated that there was contamination, since distilled PCR water should not contain any bacteria at all. This contamination could have occurred through misusing the pipette, or by not filling in the water into a clean tube. Professors had a top match with Firmicutes with an abundance of 17349, and students also had a top match with Firmicutes with an abundance of 14749 (Table 9). This shows that, unlike my original thought, professor cellphone screens actually had an increased amount of sum abundance of Firmicutes compared to the cellphone screens of students. There was also a significant amount of bacteria that could not be identified, with a sum abundance of around 1500. This could have resulted from some of the bacteria not being researched enough or not been part of GenBank.</w:t>
      </w:r>
    </w:p>
    <w:p>
      <w:pPr>
        <w:pStyle w:val="BodyText"/>
      </w:pPr>
      <w:r>
        <w:t xml:space="preserve">To go into a little more detail, the classes identified from my culture-free data included Acidobacteria groups 3 and 6, Actinobacteria, Alphaproteobacteria, Bacilli, Bacteroidia, Chloroplast, Clostridia, Cyanobacteria, Cytophagia, Deltaproteobacteria, Flavobacteriia, Fusobacteriia, Gammaproteobacteria, Negativicutes, Planctomycetia, and Sphingobacteria (Figure 8). The most prevalent classes, however, were Actinobacteria, Alphaproteobacteria, Bacilli, Bacteroidia, Chloroplast, and Gammeproteobacteria. There was also a significant amount of unidentifiable sequences (Figure 8). Actinobacteria is a class of gram-positive bacteria that is found normally in the soil. Alphaproteobacteria is also a class of bacteria that has a very diverse number of species, most of the species within this class lack cell walls and can be found within undersurface soil, or glacial ice. Bacilli is also a very diverse class of bacteria and colonizes a variety of different habitats. Some bacilli can also be found in human fecal matter. These bacteria could have been found on a cellphone screen if someone accidentally dropped their phone while on the grass or somewhere near any soil. Chloroplast was an interesting find, and this could have been transferred to the screen of a cellphone if someone happened to drop their phone in the grass, or was even eating a sandwich. Gammaproteobacteria is a class of bacteria that contains several pathogenic species.</w:t>
      </w:r>
    </w:p>
    <w:p>
      <w:pPr>
        <w:pStyle w:val="BodyText"/>
      </w:pPr>
      <w:r>
        <w:t xml:space="preserve">Both the negative and positive controls had a high abundance of bacteria. The negative control had the largest sum abundance of Proteobacteria and Actinobacteria. The positive control had the largest sum abundance of Firmicutes (Figure 9). With both of the professor and student samples, the largest sum abundance was also Firmicutes, but there was also a presence of Chloroflexl and Bacteroidetes (Figure 9).</w:t>
      </w:r>
    </w:p>
    <w:p>
      <w:pPr>
        <w:pStyle w:val="BodyText"/>
      </w:pPr>
      <w:r>
        <w:t xml:space="preserve">Looking back to my main intention of this project, I wanted to find out what pathogenic bacteria spreads around campus causing college students to get sick. As I mentioned earlier,</w:t>
      </w:r>
      <w:r>
        <w:t xml:space="preserve"> </w:t>
      </w:r>
      <w:r>
        <w:rPr>
          <w:i/>
        </w:rPr>
        <w:t xml:space="preserve">Streptococcus</w:t>
      </w:r>
      <w:r>
        <w:t xml:space="preserve"> </w:t>
      </w:r>
      <w:r>
        <w:t xml:space="preserve">was one of the main pathogenic bacteria identified, and there is a significant amount of this specific bacteria found on every single one of my samples (Figure 10). In fact, all but one phone had a n value of 10 or more for this pathogen. Another pathogenic bacteria that was identified through this project was</w:t>
      </w:r>
      <w:r>
        <w:t xml:space="preserve"> </w:t>
      </w:r>
      <w:r>
        <w:rPr>
          <w:i/>
        </w:rPr>
        <w:t xml:space="preserve">Staphylococcus</w:t>
      </w:r>
      <w:r>
        <w:t xml:space="preserve">there was also a significant amount found on every single sample tested (Figure 11). Both of these bacteria are definitely pathogenic and are known to cause illnesses such as fevers, meningitis, pneumonia, pharyngitis, and much more. This goes to show just how dirty our cellphones can be and it is common for this bacteria to be around in our environment.</w:t>
      </w:r>
    </w:p>
    <w:p>
      <w:pPr>
        <w:pStyle w:val="BodyText"/>
      </w:pPr>
      <w:r>
        <w:t xml:space="preserve">A study which discussed the disinfecting protocols for hospital employees covered a relatively efficient way to clean a cellphone. In fact, cleaning hospital employees’ cellphones with 70% isopropyl alcohol reduced the amount of bacteria grown on the cellphone screen by 79%</w:t>
      </w:r>
      <w:r>
        <w:t xml:space="preserve"> </w:t>
      </w:r>
      <w:r>
        <w:t xml:space="preserve">(Brady</w:t>
      </w:r>
      <w:r>
        <w:t xml:space="preserve"> </w:t>
      </w:r>
      <w:r>
        <w:rPr>
          <w:i/>
        </w:rPr>
        <w:t xml:space="preserve">et al.</w:t>
      </w:r>
      <w:r>
        <w:t xml:space="preserve">, 2012)</w:t>
      </w:r>
      <w:r>
        <w:t xml:space="preserve">. This shows that cleaning the screen of a cellphone can significantly decrease the amount of bacteria present, both pathogenic and nonpathogenic. Since this method is not only efficient, but also inexpensive, it can be easily applied to the general public as well. Through my study, it is evident that pathogens have a large presence within the environment, and individuals, especially, carry them around on their cellphone screens on a daily basis. In hopes of reducing the amount of bacteria individuals may expose themselves to, research has shown that taking a few minutes to clean a cellphone screen is quite effective.</w:t>
      </w:r>
    </w:p>
    <w:p>
      <w:pPr>
        <w:pStyle w:val="Heading1"/>
      </w:pPr>
      <w:bookmarkStart w:id="35" w:name="figures-and-tables"/>
      <w:r>
        <w:t xml:space="preserve">Figures and Tables</w:t>
      </w:r>
      <w:bookmarkEnd w:id="35"/>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5:</w:t>
      </w:r>
      <w:r>
        <w:t xml:space="preserve"> </w:t>
      </w:r>
      <w:r>
        <w:t xml:space="preserve">Shows The p-value resulting from a statistical test for the number of colonies found on cellphone screens between professors and students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Boxplot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6:</w:t>
      </w:r>
      <w:r>
        <w:t xml:space="preserve"> </w:t>
      </w:r>
      <w:r>
        <w:t xml:space="preserve">Table shows p-value as a result from a statistical test for the</w:t>
      </w:r>
      <w:r>
        <w:t xml:space="preserve"> </w:t>
      </w:r>
      <w:r>
        <w:t xml:space="preserve">number of morphotypes found between professor and student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40"/>
                    <a:stretch>
                      <a:fillRect/>
                    </a:stretch>
                  </pic:blipFill>
                  <pic:spPr bwMode="auto">
                    <a:xfrm>
                      <a:off x="0" y="0"/>
                      <a:ext cx="5118100" cy="33655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41"/>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Percentage</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Percentage</w:t>
            </w:r>
          </w:p>
        </w:tc>
      </w:tr>
      <w:tr>
        <w:tc>
          <w:p>
            <w:pPr>
              <w:pStyle w:val="Compact"/>
              <w:jc w:val="left"/>
            </w:pPr>
            <w:r>
              <w:t xml:space="preserve">SB-AG_S26_L001_R1_001</w:t>
            </w:r>
          </w:p>
        </w:tc>
        <w:tc>
          <w:p>
            <w:pPr>
              <w:pStyle w:val="Compact"/>
              <w:jc w:val="left"/>
            </w:pPr>
            <w:r>
              <w:t xml:space="preserve">15604</w:t>
            </w:r>
          </w:p>
        </w:tc>
        <w:tc>
          <w:p>
            <w:pPr>
              <w:pStyle w:val="Compact"/>
              <w:jc w:val="left"/>
            </w:pPr>
            <w:r>
              <w:t xml:space="preserve">14935</w:t>
            </w:r>
          </w:p>
        </w:tc>
        <w:tc>
          <w:p>
            <w:pPr>
              <w:pStyle w:val="Compact"/>
              <w:jc w:val="left"/>
            </w:pPr>
            <w:r>
              <w:t xml:space="preserve">95.71%</w:t>
            </w:r>
          </w:p>
        </w:tc>
        <w:tc>
          <w:p>
            <w:pPr>
              <w:pStyle w:val="Compact"/>
              <w:jc w:val="left"/>
            </w:pPr>
            <w:r>
              <w:t xml:space="preserve">669</w:t>
            </w:r>
          </w:p>
        </w:tc>
        <w:tc>
          <w:p>
            <w:pPr>
              <w:pStyle w:val="Compact"/>
              <w:jc w:val="left"/>
            </w:pPr>
            <w:r>
              <w:t xml:space="preserve">4.29%</w:t>
            </w:r>
          </w:p>
        </w:tc>
      </w:tr>
      <w:tr>
        <w:tc>
          <w:p>
            <w:pPr>
              <w:pStyle w:val="Compact"/>
              <w:jc w:val="left"/>
            </w:pPr>
            <w:r>
              <w:t xml:space="preserve">SB-JI_S27_L001_R1_001</w:t>
            </w:r>
          </w:p>
        </w:tc>
        <w:tc>
          <w:p>
            <w:pPr>
              <w:pStyle w:val="Compact"/>
              <w:jc w:val="left"/>
            </w:pPr>
            <w:r>
              <w:t xml:space="preserve">13319</w:t>
            </w:r>
          </w:p>
        </w:tc>
        <w:tc>
          <w:p>
            <w:pPr>
              <w:pStyle w:val="Compact"/>
              <w:jc w:val="left"/>
            </w:pPr>
            <w:r>
              <w:t xml:space="preserve">12674</w:t>
            </w:r>
          </w:p>
        </w:tc>
        <w:tc>
          <w:p>
            <w:pPr>
              <w:pStyle w:val="Compact"/>
              <w:jc w:val="left"/>
            </w:pPr>
            <w:r>
              <w:t xml:space="preserve">95.16%</w:t>
            </w:r>
          </w:p>
        </w:tc>
        <w:tc>
          <w:p>
            <w:pPr>
              <w:pStyle w:val="Compact"/>
              <w:jc w:val="left"/>
            </w:pPr>
            <w:r>
              <w:t xml:space="preserve">645</w:t>
            </w:r>
          </w:p>
        </w:tc>
        <w:tc>
          <w:p>
            <w:pPr>
              <w:pStyle w:val="Compact"/>
              <w:jc w:val="left"/>
            </w:pPr>
            <w:r>
              <w:t xml:space="preserve">4.84%</w:t>
            </w:r>
          </w:p>
        </w:tc>
      </w:tr>
      <w:tr>
        <w:tc>
          <w:p>
            <w:pPr>
              <w:pStyle w:val="Compact"/>
              <w:jc w:val="left"/>
            </w:pPr>
            <w:r>
              <w:t xml:space="preserve">SB-SB_S28_L001_R1_001</w:t>
            </w:r>
          </w:p>
        </w:tc>
        <w:tc>
          <w:p>
            <w:pPr>
              <w:pStyle w:val="Compact"/>
              <w:jc w:val="left"/>
            </w:pPr>
            <w:r>
              <w:t xml:space="preserve">11685</w:t>
            </w:r>
          </w:p>
        </w:tc>
        <w:tc>
          <w:p>
            <w:pPr>
              <w:pStyle w:val="Compact"/>
              <w:jc w:val="left"/>
            </w:pPr>
            <w:r>
              <w:t xml:space="preserve">11009</w:t>
            </w:r>
          </w:p>
        </w:tc>
        <w:tc>
          <w:p>
            <w:pPr>
              <w:pStyle w:val="Compact"/>
              <w:jc w:val="left"/>
            </w:pPr>
            <w:r>
              <w:t xml:space="preserve">94.21%</w:t>
            </w:r>
          </w:p>
        </w:tc>
        <w:tc>
          <w:p>
            <w:pPr>
              <w:pStyle w:val="Compact"/>
              <w:jc w:val="left"/>
            </w:pPr>
            <w:r>
              <w:t xml:space="preserve">676</w:t>
            </w:r>
          </w:p>
        </w:tc>
        <w:tc>
          <w:p>
            <w:pPr>
              <w:pStyle w:val="Compact"/>
              <w:jc w:val="left"/>
            </w:pPr>
            <w:r>
              <w:t xml:space="preserve">5.79%</w:t>
            </w:r>
          </w:p>
        </w:tc>
      </w:tr>
      <w:tr>
        <w:tc>
          <w:p>
            <w:pPr>
              <w:pStyle w:val="Compact"/>
              <w:jc w:val="left"/>
            </w:pPr>
            <w:r>
              <w:t xml:space="preserve">SB-ProfEY_S25_L001_R1_001</w:t>
            </w:r>
          </w:p>
        </w:tc>
        <w:tc>
          <w:p>
            <w:pPr>
              <w:pStyle w:val="Compact"/>
              <w:jc w:val="left"/>
            </w:pPr>
            <w:r>
              <w:t xml:space="preserve">17265</w:t>
            </w:r>
          </w:p>
        </w:tc>
        <w:tc>
          <w:p>
            <w:pPr>
              <w:pStyle w:val="Compact"/>
              <w:jc w:val="left"/>
            </w:pPr>
            <w:r>
              <w:t xml:space="preserve">16433</w:t>
            </w:r>
          </w:p>
        </w:tc>
        <w:tc>
          <w:p>
            <w:pPr>
              <w:pStyle w:val="Compact"/>
              <w:jc w:val="left"/>
            </w:pPr>
            <w:r>
              <w:t xml:space="preserve">95.18%</w:t>
            </w:r>
          </w:p>
        </w:tc>
        <w:tc>
          <w:p>
            <w:pPr>
              <w:pStyle w:val="Compact"/>
              <w:jc w:val="left"/>
            </w:pPr>
            <w:r>
              <w:t xml:space="preserve">832</w:t>
            </w:r>
          </w:p>
        </w:tc>
        <w:tc>
          <w:p>
            <w:pPr>
              <w:pStyle w:val="Compact"/>
              <w:jc w:val="left"/>
            </w:pPr>
            <w:r>
              <w:t xml:space="preserve">4.32%</w:t>
            </w:r>
          </w:p>
        </w:tc>
      </w:tr>
      <w:tr>
        <w:tc>
          <w:p>
            <w:pPr>
              <w:pStyle w:val="Compact"/>
              <w:jc w:val="left"/>
            </w:pPr>
            <w:r>
              <w:t xml:space="preserve">SB-ProfNT_S29_L001_R1_001</w:t>
            </w:r>
          </w:p>
        </w:tc>
        <w:tc>
          <w:p>
            <w:pPr>
              <w:pStyle w:val="Compact"/>
              <w:jc w:val="left"/>
            </w:pPr>
            <w:r>
              <w:t xml:space="preserve">13229</w:t>
            </w:r>
          </w:p>
        </w:tc>
        <w:tc>
          <w:p>
            <w:pPr>
              <w:pStyle w:val="Compact"/>
              <w:jc w:val="left"/>
            </w:pPr>
            <w:r>
              <w:t xml:space="preserve">12599</w:t>
            </w:r>
          </w:p>
        </w:tc>
        <w:tc>
          <w:p>
            <w:pPr>
              <w:pStyle w:val="Compact"/>
              <w:jc w:val="left"/>
            </w:pPr>
            <w:r>
              <w:t xml:space="preserve">95.24%</w:t>
            </w:r>
          </w:p>
        </w:tc>
        <w:tc>
          <w:p>
            <w:pPr>
              <w:pStyle w:val="Compact"/>
              <w:jc w:val="left"/>
            </w:pPr>
            <w:r>
              <w:t xml:space="preserve">630</w:t>
            </w:r>
          </w:p>
        </w:tc>
        <w:tc>
          <w:p>
            <w:pPr>
              <w:pStyle w:val="Compact"/>
              <w:jc w:val="left"/>
            </w:pPr>
            <w:r>
              <w:t xml:space="preserve">4.76%</w:t>
            </w:r>
          </w:p>
        </w:tc>
      </w:tr>
      <w:tr>
        <w:tc>
          <w:p>
            <w:pPr>
              <w:pStyle w:val="Compact"/>
              <w:jc w:val="left"/>
            </w:pPr>
            <w:r>
              <w:t xml:space="preserve">SB-ProfSS_S30_L001_R1_001</w:t>
            </w:r>
          </w:p>
        </w:tc>
        <w:tc>
          <w:p>
            <w:pPr>
              <w:pStyle w:val="Compact"/>
              <w:jc w:val="left"/>
            </w:pPr>
            <w:r>
              <w:t xml:space="preserve">13521</w:t>
            </w:r>
          </w:p>
        </w:tc>
        <w:tc>
          <w:p>
            <w:pPr>
              <w:pStyle w:val="Compact"/>
              <w:jc w:val="left"/>
            </w:pPr>
            <w:r>
              <w:t xml:space="preserve">12894</w:t>
            </w:r>
          </w:p>
        </w:tc>
        <w:tc>
          <w:p>
            <w:pPr>
              <w:pStyle w:val="Compact"/>
              <w:jc w:val="left"/>
            </w:pPr>
            <w:r>
              <w:t xml:space="preserve">95.36%</w:t>
            </w:r>
          </w:p>
        </w:tc>
        <w:tc>
          <w:p>
            <w:pPr>
              <w:pStyle w:val="Compact"/>
              <w:jc w:val="left"/>
            </w:pPr>
            <w:r>
              <w:t xml:space="preserve">627</w:t>
            </w:r>
          </w:p>
        </w:tc>
        <w:tc>
          <w:p>
            <w:pPr>
              <w:pStyle w:val="Compact"/>
              <w:jc w:val="left"/>
            </w:pPr>
            <w:r>
              <w:t xml:space="preserve">4.64%</w:t>
            </w:r>
          </w:p>
        </w:tc>
      </w:tr>
    </w:tbl>
    <w:p>
      <w:pPr>
        <w:pStyle w:val="BodyText"/>
      </w:pPr>
      <w:r>
        <w:rPr>
          <w:b/>
        </w:rPr>
        <w:t xml:space="preserve">Table 7:</w:t>
      </w:r>
      <w:r>
        <w:t xml:space="preserve"> </w:t>
      </w:r>
      <w:r>
        <w:t xml:space="preserve">Table shows the trimmomatic results of all sample sequences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8:</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20coun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9:</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unnamed-chunk-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graph shows the summarized sequence counts for my samples for each class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graph shows the number of different strains of</w:t>
      </w:r>
      <w:r>
        <w:t xml:space="preserve"> </w:t>
      </w:r>
      <w:r>
        <w:rPr>
          <w:i/>
        </w:rPr>
        <w:t xml:space="preserve">Streptococcus</w:t>
      </w:r>
      <w:r>
        <w:t xml:space="preserve"> </w:t>
      </w:r>
      <w:r>
        <w:t xml:space="preserve">found on each cellphone screen and is divided by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graph shows the number of different strains of</w:t>
      </w:r>
      <w:r>
        <w:t xml:space="preserve"> </w:t>
      </w:r>
      <w:r>
        <w:rPr>
          <w:i/>
        </w:rPr>
        <w:t xml:space="preserve">Staphylococcus</w:t>
      </w:r>
      <w:r>
        <w:t xml:space="preserve"> </w:t>
      </w:r>
      <w:r>
        <w:t xml:space="preserve">found on each cellphone screen and is divided by sample group</w:t>
      </w:r>
    </w:p>
    <w:p>
      <w:pPr>
        <w:pStyle w:val="Heading1"/>
      </w:pPr>
      <w:bookmarkStart w:id="47" w:name="sources-cited"/>
      <w:r>
        <w:t xml:space="preserve">Sources Cited</w:t>
      </w:r>
      <w:bookmarkEnd w:id="47"/>
    </w:p>
    <w:bookmarkStart w:id="82" w:name="refs"/>
    <w:bookmarkStart w:id="48"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8"/>
    <w:bookmarkStart w:id="49"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9"/>
    <w:bookmarkStart w:id="50"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50"/>
    <w:bookmarkStart w:id="51"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51"/>
    <w:bookmarkStart w:id="52" w:name="ref-brady2012nhs"/>
    <w:p>
      <w:pPr>
        <w:pStyle w:val="Bibliography"/>
      </w:pPr>
      <w:r>
        <w:t xml:space="preserve">Brady,R.R.</w:t>
      </w:r>
      <w:r>
        <w:t xml:space="preserve"> </w:t>
      </w:r>
      <w:r>
        <w:rPr>
          <w:i/>
        </w:rPr>
        <w:t xml:space="preserve">et al.</w:t>
      </w:r>
      <w:r>
        <w:t xml:space="preserve"> </w:t>
      </w:r>
      <w:r>
        <w:t xml:space="preserve">(2012) NHS connecting for health: Healthcare professionals, mobile technology, and infection control.</w:t>
      </w:r>
      <w:r>
        <w:t xml:space="preserve"> </w:t>
      </w:r>
      <w:r>
        <w:rPr>
          <w:i/>
        </w:rPr>
        <w:t xml:space="preserve">Telemedicine and e-Health</w:t>
      </w:r>
      <w:r>
        <w:t xml:space="preserve">,</w:t>
      </w:r>
      <w:r>
        <w:t xml:space="preserve"> </w:t>
      </w:r>
      <w:r>
        <w:rPr>
          <w:b/>
        </w:rPr>
        <w:t xml:space="preserve">18</w:t>
      </w:r>
      <w:r>
        <w:t xml:space="preserve">, 289–291.</w:t>
      </w:r>
    </w:p>
    <w:bookmarkEnd w:id="52"/>
    <w:bookmarkStart w:id="53"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53"/>
    <w:bookmarkStart w:id="54"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4"/>
    <w:bookmarkStart w:id="55" w:name="ref-dodd2010lifestyle"/>
    <w:p>
      <w:pPr>
        <w:pStyle w:val="Bibliography"/>
      </w:pPr>
      <w:r>
        <w:t xml:space="preserve">Dodd,L.J.</w:t>
      </w:r>
      <w:r>
        <w:t xml:space="preserve"> </w:t>
      </w:r>
      <w:r>
        <w:rPr>
          <w:i/>
        </w:rPr>
        <w:t xml:space="preserve">et al.</w:t>
      </w:r>
      <w:r>
        <w:t xml:space="preserve"> </w:t>
      </w:r>
      <w:r>
        <w:t xml:space="preserve">(2010) Lifestyle risk factors of students: A cluster analytical approach.</w:t>
      </w:r>
      <w:r>
        <w:t xml:space="preserve"> </w:t>
      </w:r>
      <w:r>
        <w:rPr>
          <w:i/>
        </w:rPr>
        <w:t xml:space="preserve">Preventive medicine</w:t>
      </w:r>
      <w:r>
        <w:t xml:space="preserve">,</w:t>
      </w:r>
      <w:r>
        <w:t xml:space="preserve"> </w:t>
      </w:r>
      <w:r>
        <w:rPr>
          <w:b/>
        </w:rPr>
        <w:t xml:space="preserve">51</w:t>
      </w:r>
      <w:r>
        <w:t xml:space="preserve">, 73–77.</w:t>
      </w:r>
    </w:p>
    <w:bookmarkEnd w:id="55"/>
    <w:bookmarkStart w:id="56" w:name="ref-egert2015bacteria"/>
    <w:p>
      <w:pPr>
        <w:pStyle w:val="Bibliography"/>
      </w:pPr>
      <w:r>
        <w:t xml:space="preserve">Egert,M.</w:t>
      </w:r>
      <w:r>
        <w:t xml:space="preserve"> </w:t>
      </w:r>
      <w:r>
        <w:rPr>
          <w:i/>
        </w:rPr>
        <w:t xml:space="preserve">et al.</w:t>
      </w:r>
      <w:r>
        <w:t xml:space="preserve"> </w:t>
      </w:r>
      <w:r>
        <w:t xml:space="preserve">(2015) Bacteria on smartphone touchscreens in a german university setting and evaluation of two popular cleaning methods using commercially available cleaning products.</w:t>
      </w:r>
      <w:r>
        <w:t xml:space="preserve"> </w:t>
      </w:r>
      <w:r>
        <w:rPr>
          <w:i/>
        </w:rPr>
        <w:t xml:space="preserve">Folia microbiologica</w:t>
      </w:r>
      <w:r>
        <w:t xml:space="preserve">,</w:t>
      </w:r>
      <w:r>
        <w:t xml:space="preserve"> </w:t>
      </w:r>
      <w:r>
        <w:rPr>
          <w:b/>
        </w:rPr>
        <w:t xml:space="preserve">60</w:t>
      </w:r>
      <w:r>
        <w:t xml:space="preserve">, 159–164.</w:t>
      </w:r>
    </w:p>
    <w:bookmarkEnd w:id="56"/>
    <w:bookmarkStart w:id="57" w:name="ref-ezoe2009relationships"/>
    <w:p>
      <w:pPr>
        <w:pStyle w:val="Bibliography"/>
      </w:pPr>
      <w:r>
        <w:t xml:space="preserve">Ezoe,S.</w:t>
      </w:r>
      <w:r>
        <w:t xml:space="preserve"> </w:t>
      </w:r>
      <w:r>
        <w:rPr>
          <w:i/>
        </w:rPr>
        <w:t xml:space="preserve">et al.</w:t>
      </w:r>
      <w:r>
        <w:t xml:space="preserve"> </w:t>
      </w:r>
      <w:r>
        <w:t xml:space="preserve">(2009) Relationships of personality and lifestyle with mobile phone dependence among female nursing students.</w:t>
      </w:r>
      <w:r>
        <w:t xml:space="preserve"> </w:t>
      </w:r>
      <w:r>
        <w:rPr>
          <w:i/>
        </w:rPr>
        <w:t xml:space="preserve">Social Behavior and Personality: an international journal</w:t>
      </w:r>
      <w:r>
        <w:t xml:space="preserve">,</w:t>
      </w:r>
      <w:r>
        <w:t xml:space="preserve"> </w:t>
      </w:r>
      <w:r>
        <w:rPr>
          <w:b/>
        </w:rPr>
        <w:t xml:space="preserve">37</w:t>
      </w:r>
      <w:r>
        <w:t xml:space="preserve">, 231–238.</w:t>
      </w:r>
    </w:p>
    <w:bookmarkEnd w:id="57"/>
    <w:bookmarkStart w:id="58"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8"/>
    <w:bookmarkStart w:id="59"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59"/>
    <w:bookmarkStart w:id="60" w:name="ref-hudd2000stress"/>
    <w:p>
      <w:pPr>
        <w:pStyle w:val="Bibliography"/>
      </w:pPr>
      <w:r>
        <w:t xml:space="preserve">Hudd,S.S.</w:t>
      </w:r>
      <w:r>
        <w:t xml:space="preserve"> </w:t>
      </w:r>
      <w:r>
        <w:rPr>
          <w:i/>
        </w:rPr>
        <w:t xml:space="preserve">et al.</w:t>
      </w:r>
      <w:r>
        <w:t xml:space="preserve"> </w:t>
      </w:r>
      <w:r>
        <w:t xml:space="preserve">(2000) Stress at college: Effects on health habits, health status and self-esteem.</w:t>
      </w:r>
      <w:r>
        <w:t xml:space="preserve"> </w:t>
      </w:r>
      <w:r>
        <w:rPr>
          <w:i/>
        </w:rPr>
        <w:t xml:space="preserve">College Student Journal</w:t>
      </w:r>
      <w:r>
        <w:t xml:space="preserve">,</w:t>
      </w:r>
      <w:r>
        <w:t xml:space="preserve"> </w:t>
      </w:r>
      <w:r>
        <w:rPr>
          <w:b/>
        </w:rPr>
        <w:t xml:space="preserve">34</w:t>
      </w:r>
      <w:r>
        <w:t xml:space="preserve">.</w:t>
      </w:r>
    </w:p>
    <w:bookmarkEnd w:id="60"/>
    <w:bookmarkStart w:id="61"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61"/>
    <w:bookmarkStart w:id="62"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62"/>
    <w:bookmarkStart w:id="63"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63"/>
    <w:bookmarkStart w:id="64"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64"/>
    <w:bookmarkStart w:id="65"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65"/>
    <w:bookmarkStart w:id="66"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66"/>
    <w:bookmarkStart w:id="67"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67"/>
    <w:bookmarkStart w:id="68"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8"/>
    <w:bookmarkStart w:id="69"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69"/>
    <w:bookmarkStart w:id="70"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70"/>
    <w:bookmarkStart w:id="71"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71"/>
    <w:bookmarkStart w:id="72"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72"/>
    <w:bookmarkStart w:id="73"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73"/>
    <w:bookmarkStart w:id="74"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74"/>
    <w:bookmarkStart w:id="75"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75"/>
    <w:bookmarkStart w:id="76"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76"/>
    <w:bookmarkStart w:id="77" w:name="ref-ramesh2008use"/>
    <w:p>
      <w:pPr>
        <w:pStyle w:val="Bibliography"/>
      </w:pPr>
      <w:r>
        <w:t xml:space="preserve">Ramesh,J.</w:t>
      </w:r>
      <w:r>
        <w:t xml:space="preserve"> </w:t>
      </w:r>
      <w:r>
        <w:rPr>
          <w:i/>
        </w:rPr>
        <w:t xml:space="preserve">et al.</w:t>
      </w:r>
      <w:r>
        <w:t xml:space="preserve"> </w:t>
      </w:r>
      <w:r>
        <w:t xml:space="preserve">(2008) Use of mobile phones by medical staff at queen elizabeth hospital, barbados: Evidence for both benefit and harm.</w:t>
      </w:r>
      <w:r>
        <w:t xml:space="preserve"> </w:t>
      </w:r>
      <w:r>
        <w:rPr>
          <w:i/>
        </w:rPr>
        <w:t xml:space="preserve">Journal of Hospital Infection</w:t>
      </w:r>
      <w:r>
        <w:t xml:space="preserve">,</w:t>
      </w:r>
      <w:r>
        <w:t xml:space="preserve"> </w:t>
      </w:r>
      <w:r>
        <w:rPr>
          <w:b/>
        </w:rPr>
        <w:t xml:space="preserve">70</w:t>
      </w:r>
      <w:r>
        <w:t xml:space="preserve">, 160–165.</w:t>
      </w:r>
    </w:p>
    <w:bookmarkEnd w:id="77"/>
    <w:bookmarkStart w:id="78"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78"/>
    <w:bookmarkStart w:id="79"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79"/>
    <w:bookmarkStart w:id="80"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80"/>
    <w:bookmarkStart w:id="81"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1" Target="media/rId41.jpg" /><Relationship Type="http://schemas.openxmlformats.org/officeDocument/2006/relationships/image" Id="rId40" Target="media/rId40.jpg" /><Relationship Type="http://schemas.openxmlformats.org/officeDocument/2006/relationships/image" Id="rId39" Target="media/rId39.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2019-12-07T04:29:14Z</dcterms:created>
  <dcterms:modified xsi:type="dcterms:W3CDTF">2019-12-07T04:29:14Z</dcterms:modified>
</cp:coreProperties>
</file>