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1.png" ContentType="image/png"/>
  <Override PartName="/word/media/rId37.png" ContentType="image/png"/>
  <Override PartName="/word/media/rId38.png" ContentType="image/png"/>
  <Override PartName="/word/media/rId43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Effects</w:t>
      </w:r>
      <w:r>
        <w:t xml:space="preserve"> </w:t>
      </w:r>
      <w:r>
        <w:t xml:space="preserve">of</w:t>
      </w:r>
      <w:r>
        <w:t xml:space="preserve"> </w:t>
      </w:r>
      <w:r>
        <w:t xml:space="preserve">different</w:t>
      </w:r>
      <w:r>
        <w:t xml:space="preserve"> </w:t>
      </w:r>
      <w:r>
        <w:t xml:space="preserve">storage</w:t>
      </w:r>
      <w:r>
        <w:t xml:space="preserve"> </w:t>
      </w:r>
      <w:r>
        <w:t xml:space="preserve">conditions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</w:t>
      </w:r>
      <w:r>
        <w:t xml:space="preserve"> </w:t>
      </w:r>
      <w:r>
        <w:t xml:space="preserve">microorganisms</w:t>
      </w:r>
      <w:r>
        <w:t xml:space="preserve"> </w:t>
      </w:r>
      <w:r>
        <w:t xml:space="preserve">in</w:t>
      </w:r>
      <w:r>
        <w:t xml:space="preserve"> </w:t>
      </w:r>
      <w:r>
        <w:t xml:space="preserve">ground</w:t>
      </w:r>
      <w:r>
        <w:t xml:space="preserve"> </w:t>
      </w:r>
      <w:r>
        <w:t xml:space="preserve">beef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19,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a.-process-of-cultured-samples"/>
      <w:r>
        <w:t xml:space="preserve">A. Process of cultured samples</w:t>
      </w:r>
      <w:bookmarkEnd w:id="24"/>
    </w:p>
    <w:p>
      <w:pPr>
        <w:pStyle w:val="Heading3"/>
      </w:pPr>
      <w:bookmarkStart w:id="25" w:name="dilution-and-microbial-culture"/>
      <w:r>
        <w:t xml:space="preserve">1:10/1:100 Dilution and Microbial Culture</w:t>
      </w:r>
      <w:bookmarkEnd w:id="25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6" w:name="dna-extraction-and-quantification-of-dna-concentration"/>
      <w:r>
        <w:t xml:space="preserve">DNA Extraction and Quantification of DNA concentration</w:t>
      </w:r>
      <w:bookmarkEnd w:id="26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7" w:name="touchdown-pcr"/>
      <w:r>
        <w:t xml:space="preserve">Touchdown PCR</w:t>
      </w:r>
      <w:bookmarkEnd w:id="27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8" w:name="gel-electrophoresis-and-pcr-cleanups"/>
      <w:r>
        <w:t xml:space="preserve">Gel Electrophoresis and PCR cleanups</w:t>
      </w:r>
      <w:bookmarkEnd w:id="28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9" w:name="sanger-sequencing-and-analysis"/>
      <w:r>
        <w:t xml:space="preserve">Sanger sequencing and Analysis</w:t>
      </w:r>
      <w:bookmarkEnd w:id="29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2"/>
      </w:pPr>
      <w:bookmarkStart w:id="30" w:name="b.-process-of-culture-free-samples"/>
      <w:r>
        <w:t xml:space="preserve">B. Process of culture-free samples</w:t>
      </w:r>
      <w:bookmarkEnd w:id="30"/>
    </w:p>
    <w:p>
      <w:pPr>
        <w:pStyle w:val="Heading3"/>
      </w:pPr>
      <w:bookmarkStart w:id="31" w:name="dna-extraction-and-quantification-of-dna-concentration-1"/>
      <w:r>
        <w:t xml:space="preserve">DNA Extraction and Quantification of DNA concentration</w:t>
      </w:r>
      <w:bookmarkEnd w:id="31"/>
    </w:p>
    <w:p>
      <w:pPr>
        <w:pStyle w:val="FirstParagraph"/>
      </w:pP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32" w:name="pcr-and-gel-electrophoresis"/>
      <w:r>
        <w:t xml:space="preserve">PCR and Gel Electrophoresis</w:t>
      </w:r>
      <w:bookmarkEnd w:id="32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16SF primer, 16SR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3 minutes. Subsequently, additional 25 cycles were started at</w:t>
      </w:r>
      <w:r>
        <w:t xml:space="preserve"> </w:t>
      </w:r>
      <w:r>
        <w:t xml:space="preserve">95⁰C for 30 seconds, 55⁰C for 30 seconds, and 72⁰C for 30 seconds.</w:t>
      </w:r>
      <w:r>
        <w:t xml:space="preserve"> </w:t>
      </w:r>
      <w:r>
        <w:t xml:space="preserve">The cycle stayed at 72⁰C for 5 minutes and went down to 4⁰C for hold.</w:t>
      </w:r>
      <w:r>
        <w:t xml:space="preserve"> </w:t>
      </w:r>
      <w:r>
        <w:t xml:space="preserve">6 PCR products and a negative control were loaded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</w:t>
      </w:r>
    </w:p>
    <w:p>
      <w:pPr>
        <w:pStyle w:val="Heading3"/>
      </w:pPr>
      <w:bookmarkStart w:id="33" w:name="illumina-sequencing-and-analysis"/>
      <w:r>
        <w:t xml:space="preserve">Illumina sequencing and Analysis</w:t>
      </w:r>
      <w:bookmarkEnd w:id="33"/>
    </w:p>
    <w:p>
      <w:pPr>
        <w:pStyle w:val="FirstParagraph"/>
      </w:pPr>
      <w:r>
        <w:t xml:space="preserve">Following electrophoresis, PCR products were purified using AmpureXP magnetic</w:t>
      </w:r>
      <w:r>
        <w:t xml:space="preserve"> </w:t>
      </w:r>
      <w:r>
        <w:t xml:space="preserve">beads and quantitated using a PicoGreen fluorescent assay on a Tecan Infinite</w:t>
      </w:r>
      <w:r>
        <w:t xml:space="preserve"> </w:t>
      </w:r>
      <w:r>
        <w:t xml:space="preserve">M Plex plate reader. Purified PCR products were used as the template for a</w:t>
      </w:r>
      <w:r>
        <w:t xml:space="preserve"> </w:t>
      </w:r>
      <w:r>
        <w:t xml:space="preserve">second round of PCR, which served to attach the Illumina barcodes and</w:t>
      </w:r>
      <w:r>
        <w:t xml:space="preserve"> </w:t>
      </w:r>
      <w:r>
        <w:t xml:space="preserve">adapters. PCR cycles started with denaturing at 95⁰C for 3 minutes followed</w:t>
      </w:r>
      <w:r>
        <w:t xml:space="preserve"> </w:t>
      </w:r>
      <w:r>
        <w:t xml:space="preserve">by additional 25 cycles starting at 95⁰C for 30 seconds, 55⁰C for 30 seconds,</w:t>
      </w:r>
      <w:r>
        <w:t xml:space="preserve"> </w:t>
      </w:r>
      <w:r>
        <w:t xml:space="preserve">and 72⁰C for 30 seconds. The cycle stayed at 72⁰C for 5 minutes and went down</w:t>
      </w:r>
      <w:r>
        <w:t xml:space="preserve"> </w:t>
      </w:r>
      <w:r>
        <w:t xml:space="preserve">to 4⁰C for hold. Following this amplification, PCR products were purified and</w:t>
      </w:r>
      <w:r>
        <w:t xml:space="preserve"> </w:t>
      </w:r>
      <w:r>
        <w:t xml:space="preserve">normalized with a SequelPrep normalization plate, pooled, and then quantified</w:t>
      </w:r>
      <w:r>
        <w:t xml:space="preserve"> </w:t>
      </w:r>
      <w:r>
        <w:t xml:space="preserve">once again with a Qubit 4 fluorometer (Invitrogen) and a TapeStation 4200</w:t>
      </w:r>
      <w:r>
        <w:t xml:space="preserve"> </w:t>
      </w:r>
      <w:r>
        <w:t xml:space="preserve">(Agilent) to verify library size and concentration. This library was then</w:t>
      </w:r>
      <w:r>
        <w:t xml:space="preserve"> </w:t>
      </w:r>
      <w:r>
        <w:t xml:space="preserve">combined with an Illumina PhiX spike-in library (5% spike in) and sequenced</w:t>
      </w:r>
      <w:r>
        <w:t xml:space="preserve"> </w:t>
      </w:r>
      <w:r>
        <w:t xml:space="preserve">on an Illumina iSeq using a 2 x 150 bp consumable cartridge.</w:t>
      </w:r>
    </w:p>
    <w:p>
      <w:pPr>
        <w:pStyle w:val="Heading1"/>
      </w:pPr>
      <w:bookmarkStart w:id="34" w:name="results"/>
      <w:r>
        <w:t xml:space="preserve">Results</w:t>
      </w:r>
      <w:bookmarkEnd w:id="34"/>
    </w:p>
    <w:p>
      <w:pPr>
        <w:pStyle w:val="Heading2"/>
      </w:pPr>
      <w:bookmarkStart w:id="35" w:name="a.-cultured-samples"/>
      <w:r>
        <w:t xml:space="preserve">A. Cultured samples</w:t>
      </w:r>
      <w:bookmarkEnd w:id="35"/>
    </w:p>
    <w:p>
      <w:pPr>
        <w:pStyle w:val="Heading3"/>
      </w:pPr>
      <w:bookmarkStart w:id="36" w:name="qubit-dna-concentration-and-gel-image"/>
      <w:r>
        <w:t xml:space="preserve">Qubit DNA concentration and Gel Image</w:t>
      </w:r>
      <w:bookmarkEnd w:id="36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3"/>
      </w:pPr>
      <w:bookmarkStart w:id="39" w:name="comparison-of-colony-abundances-and-morphotypes"/>
      <w:r>
        <w:t xml:space="preserve">Comparison of colony abundances and morphotypes</w:t>
      </w:r>
      <w:bookmarkEnd w:id="39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3"/>
      </w:pPr>
      <w:bookmarkStart w:id="42" w:name="sanger-sequencing-and-phylogenetic-trees"/>
      <w:r>
        <w:t xml:space="preserve">Sanger Sequencing and Phylogenetic Trees</w:t>
      </w:r>
      <w:bookmarkEnd w:id="42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 constructed by PhyML.</w:t>
      </w:r>
    </w:p>
    <w:p>
      <w:pPr>
        <w:pStyle w:val="Heading3"/>
      </w:pPr>
      <w:bookmarkStart w:id="45" w:name="identification-of-samples-using-blast"/>
      <w:r>
        <w:t xml:space="preserve">Identification of Samples using BLAST</w:t>
      </w:r>
      <w:bookmarkEnd w:id="45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BLAST.</w:t>
      </w:r>
    </w:p>
    <w:p>
      <w:pPr>
        <w:pStyle w:val="Heading2"/>
      </w:pPr>
      <w:bookmarkStart w:id="46" w:name="b.-culture-free-samples"/>
      <w:r>
        <w:t xml:space="preserve">B. Culture-free samples</w:t>
      </w:r>
      <w:bookmarkEnd w:id="46"/>
    </w:p>
    <w:p>
      <w:pPr>
        <w:pStyle w:val="Heading3"/>
      </w:pPr>
      <w:bookmarkStart w:id="47" w:name="qubit-dna-concentration-and-gel-image-1"/>
      <w:r>
        <w:t xml:space="preserve">Qubit DNA concentration and Gel Image</w:t>
      </w:r>
      <w:bookmarkEnd w:id="47"/>
    </w:p>
    <w:p>
      <w:pPr>
        <w:pStyle w:val="Heading1"/>
      </w:pPr>
      <w:bookmarkStart w:id="48" w:name="discussion"/>
      <w:r>
        <w:t xml:space="preserve">Discussion</w:t>
      </w:r>
      <w:bookmarkEnd w:id="48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4).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#6</w:t>
      </w:r>
      <w:r>
        <w:t xml:space="preserve"> </w:t>
      </w:r>
      <w:r>
        <w:t xml:space="preserve">which corresponded to the failed Sanger sequencing data, and the faded band</w:t>
      </w:r>
      <w:r>
        <w:t xml:space="preserve"> </w:t>
      </w:r>
      <w:r>
        <w:t xml:space="preserve">for Sample #3 corresponded to the seemingly failed Sanger sequencing data.</w:t>
      </w:r>
      <w:r>
        <w:t xml:space="preserve"> </w:t>
      </w:r>
      <w:r>
        <w:t xml:space="preserve">Some possible speculations that influenced no bands for Sample #5 and #6</w:t>
      </w:r>
      <w:r>
        <w:t xml:space="preserve"> </w:t>
      </w:r>
      <w:r>
        <w:t xml:space="preserve">could be contamination of tubes and/or pipetting errors.</w:t>
      </w:r>
    </w:p>
    <w:p>
      <w:pPr>
        <w:pStyle w:val="BodyText"/>
      </w:pPr>
      <w:r>
        <w:t xml:space="preserve">4 different identifications were generated from BLAST for Sample</w:t>
      </w:r>
      <w:r>
        <w:t xml:space="preserve"> </w:t>
      </w:r>
      <w:r>
        <w:t xml:space="preserve">#1, 2, 3, and 4:</w:t>
      </w:r>
      <w:r>
        <w:t xml:space="preserve"> </w:t>
      </w:r>
      <w:r>
        <w:rPr>
          <w:i/>
        </w:rPr>
        <w:t xml:space="preserve">Acinetobacter baumannii</w:t>
      </w:r>
      <w:r>
        <w:t xml:space="preserve">,</w:t>
      </w:r>
      <w:r>
        <w:t xml:space="preserve"> </w:t>
      </w:r>
      <w:r>
        <w:rPr>
          <w:i/>
        </w:rPr>
        <w:t xml:space="preserve">Hafnia paralvei</w:t>
      </w:r>
      <w:r>
        <w:t xml:space="preserve">,</w:t>
      </w:r>
      <w:r>
        <w:t xml:space="preserve"> </w:t>
      </w:r>
      <w:r>
        <w:rPr>
          <w:i/>
        </w:rPr>
        <w:t xml:space="preserve">Kocuria rhizophila</w:t>
      </w:r>
      <w:r>
        <w:t xml:space="preserve">, and</w:t>
      </w:r>
      <w:r>
        <w:t xml:space="preserve"> </w:t>
      </w:r>
      <w:r>
        <w:rPr>
          <w:i/>
        </w:rPr>
        <w:t xml:space="preserve">Staphylococcus saprophyticus</w:t>
      </w:r>
      <w:r>
        <w:t xml:space="preserve"> </w:t>
      </w:r>
      <w:r>
        <w:t xml:space="preserve">respectively</w:t>
      </w:r>
      <w:r>
        <w:t xml:space="preserve"> </w:t>
      </w:r>
      <w:r>
        <w:t xml:space="preserve">(Figure 8). All of the samples except for the complete failures was</w:t>
      </w:r>
      <w:r>
        <w:t xml:space="preserve"> </w:t>
      </w:r>
      <w:r>
        <w:t xml:space="preserve">identified with strong confidence to support the results even for</w:t>
      </w:r>
      <w:r>
        <w:t xml:space="preserve"> </w:t>
      </w:r>
      <w:r>
        <w:t xml:space="preserve">the Sample #3 which showed a faded band on the gel and provided the</w:t>
      </w:r>
      <w:r>
        <w:t xml:space="preserve"> </w:t>
      </w:r>
      <w:r>
        <w:t xml:space="preserve">seemingly failed result from Sanger sequencing data. The results exhibited</w:t>
      </w:r>
      <w:r>
        <w:t xml:space="preserve"> </w:t>
      </w:r>
      <w:r>
        <w:t xml:space="preserve">high percent identity and query coverage values with exceptionally small</w:t>
      </w:r>
      <w:r>
        <w:t xml:space="preserve"> </w:t>
      </w:r>
      <w:r>
        <w:t xml:space="preserve">to zero E-values. However, the phylogenic results that grouped Sample #1</w:t>
      </w:r>
      <w:r>
        <w:t xml:space="preserve"> </w:t>
      </w:r>
      <w:r>
        <w:t xml:space="preserve">and #2 did not match with BLAST results.</w:t>
      </w:r>
    </w:p>
    <w:p>
      <w:pPr>
        <w:pStyle w:val="Heading1"/>
      </w:pPr>
      <w:bookmarkStart w:id="49" w:name="sources-cited"/>
      <w:r>
        <w:t xml:space="preserve">Sources Cited</w:t>
      </w:r>
      <w:bookmarkEnd w:id="49"/>
    </w:p>
    <w:bookmarkStart w:id="51" w:name="refs"/>
    <w:bookmarkStart w:id="50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Effects of different storage conditions on the development of microorganisms in ground beef</dc:title>
  <dc:creator>Kris Choi</dc:creator>
  <cp:keywords/>
  <dcterms:created xsi:type="dcterms:W3CDTF">2019-11-14T04:26:40Z</dcterms:created>
  <dcterms:modified xsi:type="dcterms:W3CDTF">2019-11-14T04:26:40Z</dcterms:modified>
</cp:coreProperties>
</file>