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Kris</w:t>
      </w:r>
      <w:r>
        <w:t xml:space="preserve"> </w:t>
      </w:r>
      <w:r>
        <w:t xml:space="preserve">Choi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study-design"/>
      <w:r>
        <w:t xml:space="preserve">Study design</w:t>
      </w:r>
      <w:bookmarkEnd w:id="22"/>
    </w:p>
    <w:p>
      <w:pPr>
        <w:pStyle w:val="FirstParagraph"/>
      </w:pPr>
      <w:r>
        <w:t xml:space="preserve">The model of the experiment was ground beef and they were replicated by</w:t>
      </w:r>
      <w:r>
        <w:t xml:space="preserve"> </w:t>
      </w:r>
      <w:r>
        <w:t xml:space="preserve">purchasing 3 different brands: Teva kosher foods from Trader Joe’s, Lucky</w:t>
      </w:r>
      <w:r>
        <w:t xml:space="preserve"> </w:t>
      </w:r>
      <w:r>
        <w:t xml:space="preserve">California from Lucky Supermarkets, and Butcher shop from Trader Joe’s.</w:t>
      </w:r>
      <w:r>
        <w:t xml:space="preserve"> </w:t>
      </w:r>
      <w:r>
        <w:t xml:space="preserve">The first treatment group remained refrigerated while the second treatment</w:t>
      </w:r>
      <w:r>
        <w:t xml:space="preserve"> </w:t>
      </w:r>
      <w:r>
        <w:t xml:space="preserve">group was stored at room temperature. For both treatment groups, they were</w:t>
      </w:r>
      <w:r>
        <w:t xml:space="preserve"> </w:t>
      </w:r>
      <w:r>
        <w:t xml:space="preserve">stored for 80 hours before subsampled.</w:t>
      </w:r>
    </w:p>
    <w:p>
      <w:pPr>
        <w:pStyle w:val="Heading3"/>
      </w:pPr>
      <w:bookmarkStart w:id="23" w:name="i---subsampling"/>
      <w:r>
        <w:t xml:space="preserve">I - Subsampling</w:t>
      </w:r>
      <w:bookmarkEnd w:id="23"/>
    </w:p>
    <w:p>
      <w:pPr>
        <w:pStyle w:val="FirstParagraph"/>
      </w:pPr>
      <w:r>
        <w:t xml:space="preserve">I dipped a sterile cotton swab in PBS buffer first and swabbed each sample</w:t>
      </w:r>
      <w:r>
        <w:t xml:space="preserve"> </w:t>
      </w:r>
      <w:r>
        <w:t xml:space="preserve">on the surface for at least 10 seconds. Then, I broke off the tip of the</w:t>
      </w:r>
      <w:r>
        <w:t xml:space="preserve"> </w:t>
      </w:r>
      <w:r>
        <w:t xml:space="preserve">cotton swab into the labeled tube and closed the cap. In order to conduct</w:t>
      </w:r>
      <w:r>
        <w:t xml:space="preserve"> </w:t>
      </w:r>
      <w:r>
        <w:t xml:space="preserve">culturing and culture-free experiment for each sample in later steps,</w:t>
      </w:r>
      <w:r>
        <w:t xml:space="preserve"> </w:t>
      </w:r>
      <w:r>
        <w:t xml:space="preserve">I collected total of 18 samples (n = 3 per group, 6 total).</w:t>
      </w:r>
    </w:p>
    <w:p>
      <w:pPr>
        <w:pStyle w:val="Heading3"/>
      </w:pPr>
      <w:bookmarkStart w:id="24" w:name="ii---1101100-dilution-and-microbial-culture"/>
      <w:r>
        <w:t xml:space="preserve">II - 1:10/1:100 dilution and microbial culture</w:t>
      </w:r>
      <w:bookmarkEnd w:id="24"/>
    </w:p>
    <w:p>
      <w:pPr>
        <w:pStyle w:val="FirstParagraph"/>
      </w:pPr>
      <w:r>
        <w:t xml:space="preserve">I prepared 3 dilutions for each sample: the original stock, 1:10, and 1:100</w:t>
      </w:r>
      <w:r>
        <w:t xml:space="preserve"> </w:t>
      </w:r>
      <w:r>
        <w:t xml:space="preserve">using PBS buffer (total volume of 200uL each). For culturing process,</w:t>
      </w:r>
      <w:r>
        <w:t xml:space="preserve"> </w:t>
      </w:r>
      <w:r>
        <w:t xml:space="preserve">I transferred 100uL of each diluted sample to 100mm TSA plate and spread</w:t>
      </w:r>
      <w:r>
        <w:t xml:space="preserve"> </w:t>
      </w:r>
      <w:r>
        <w:t xml:space="preserve">the solution with the beads for 10 seconds. The petri dishes were stored</w:t>
      </w:r>
      <w:r>
        <w:t xml:space="preserve"> </w:t>
      </w:r>
      <w:r>
        <w:t xml:space="preserve">in incubator for growth of microbes.</w:t>
      </w:r>
    </w:p>
    <w:p>
      <w:pPr>
        <w:pStyle w:val="Heading3"/>
      </w:pPr>
      <w:bookmarkStart w:id="25" w:name="iii-dna-extraction-and-quantification-of-dna-concentration"/>
      <w:r>
        <w:t xml:space="preserve">III – DNA Extraction and Quantification of DNA concentration</w:t>
      </w:r>
      <w:bookmarkEnd w:id="25"/>
    </w:p>
    <w:p>
      <w:pPr>
        <w:pStyle w:val="FirstParagraph"/>
      </w:pPr>
      <w:r>
        <w:t xml:space="preserve">I chose 6 different bacterial morphotypes across the cultured sample and</w:t>
      </w:r>
      <w:r>
        <w:t xml:space="preserve"> </w:t>
      </w:r>
      <w:r>
        <w:t xml:space="preserve">added the cell from colony to a tube using a sterile pipette tip.</w:t>
      </w:r>
      <w:r>
        <w:t xml:space="preserve"> </w:t>
      </w:r>
      <w:r>
        <w:t xml:space="preserve">I performed DNA extraction by following the manufacturer’s protocol from</w:t>
      </w:r>
      <w:r>
        <w:t xml:space="preserve"> </w:t>
      </w:r>
      <w:r>
        <w:t xml:space="preserve">the Sigma REDExtract-N-Amp kit. After the extraction, I measured DNA</w:t>
      </w:r>
      <w:r>
        <w:t xml:space="preserve"> </w:t>
      </w:r>
      <w:r>
        <w:t xml:space="preserve">concentration using Qubit Fluorometer.</w:t>
      </w:r>
    </w:p>
    <w:p>
      <w:pPr>
        <w:pStyle w:val="Heading3"/>
      </w:pPr>
      <w:bookmarkStart w:id="26" w:name="iv-touchdown-pcr"/>
      <w:r>
        <w:t xml:space="preserve">IV – Touchdown PCR</w:t>
      </w:r>
      <w:bookmarkEnd w:id="26"/>
    </w:p>
    <w:p>
      <w:pPr>
        <w:pStyle w:val="FirstParagraph"/>
      </w:pPr>
      <w:r>
        <w:t xml:space="preserve">I prepared the master mix for PCR using following ingredients:</w:t>
      </w:r>
      <w:r>
        <w:t xml:space="preserve"> </w:t>
      </w:r>
      <w:r>
        <w:t xml:space="preserve">Amp reagent, 27f primer, 1492r primer, BSA, and water. After aliquoting</w:t>
      </w:r>
      <w:r>
        <w:t xml:space="preserve"> </w:t>
      </w:r>
      <w:r>
        <w:t xml:space="preserve">the master mix and adding DNA to each tube, PCR started with denaturing</w:t>
      </w:r>
      <w:r>
        <w:t xml:space="preserve"> </w:t>
      </w:r>
      <w:r>
        <w:t xml:space="preserve">at 95⁰C for 5 minutes, another denaturing at 94⁰C for 30 seconds, annealing</w:t>
      </w:r>
      <w:r>
        <w:t xml:space="preserve"> </w:t>
      </w:r>
      <w:r>
        <w:t xml:space="preserve">at 65⁰C for 30 seconds, and extending at 72⁰C for 1 minute. The temperature</w:t>
      </w:r>
      <w:r>
        <w:t xml:space="preserve"> </w:t>
      </w:r>
      <w:r>
        <w:t xml:space="preserve">for annealing stepped down 1⁰C per cycle and the second denaturing,</w:t>
      </w:r>
      <w:r>
        <w:t xml:space="preserve"> </w:t>
      </w:r>
      <w:r>
        <w:t xml:space="preserve">annealing,and extending steps were repeated for 10 cycles. Subsequently,</w:t>
      </w:r>
      <w:r>
        <w:t xml:space="preserve"> </w:t>
      </w:r>
      <w:r>
        <w:t xml:space="preserve">additional 25 cycles were started at 94⁰C for 30 seconds, 55⁰C for</w:t>
      </w:r>
      <w:r>
        <w:t xml:space="preserve"> </w:t>
      </w:r>
      <w:r>
        <w:t xml:space="preserve">30 seconds, and 72⁰C for 1 minute. The cycle stayed at 72⁰C for 10 minutes</w:t>
      </w:r>
      <w:r>
        <w:t xml:space="preserve"> </w:t>
      </w:r>
      <w:r>
        <w:t xml:space="preserve">and went down to 4⁰C for hold.</w:t>
      </w:r>
    </w:p>
    <w:p>
      <w:pPr>
        <w:pStyle w:val="Heading3"/>
      </w:pPr>
      <w:bookmarkStart w:id="27" w:name="v-gel-electrophoresis-and-pcr-cleanups"/>
      <w:r>
        <w:t xml:space="preserve">V – Gel Electrophoresis and PCR cleanups</w:t>
      </w:r>
      <w:bookmarkEnd w:id="27"/>
    </w:p>
    <w:p>
      <w:pPr>
        <w:pStyle w:val="FirstParagraph"/>
      </w:pPr>
      <w:r>
        <w:t xml:space="preserve">I loaded 6 PCR products and a negative control on a 2% agarose gel</w:t>
      </w:r>
      <w:r>
        <w:t xml:space="preserve"> </w:t>
      </w:r>
      <w:r>
        <w:t xml:space="preserve">containing SYBR safe dye and ran the electrophoresis at 140V for</w:t>
      </w:r>
      <w:r>
        <w:t xml:space="preserve"> </w:t>
      </w:r>
      <w:r>
        <w:t xml:space="preserve">30 minutes. After inspecting the fluorescent bands under UV light,</w:t>
      </w:r>
      <w:r>
        <w:t xml:space="preserve"> </w:t>
      </w:r>
      <w:r>
        <w:t xml:space="preserve">PCR cleanups were performed using Invitrogen Exo-SAP and sent for</w:t>
      </w:r>
      <w:r>
        <w:t xml:space="preserve"> </w:t>
      </w:r>
      <w:r>
        <w:t xml:space="preserve">unidirectional Sanger sequencing using 27f primer at MCLAB in</w:t>
      </w:r>
      <w:r>
        <w:t xml:space="preserve"> </w:t>
      </w:r>
      <w:r>
        <w:t xml:space="preserve">South San Francisco, CA.</w:t>
      </w:r>
    </w:p>
    <w:p>
      <w:pPr>
        <w:pStyle w:val="Heading3"/>
      </w:pPr>
      <w:bookmarkStart w:id="28" w:name="vi-sanger-sequencing-and-analysis"/>
      <w:r>
        <w:t xml:space="preserve">VI – Sanger sequencing and Analysis</w:t>
      </w:r>
      <w:bookmarkEnd w:id="28"/>
    </w:p>
    <w:p>
      <w:pPr>
        <w:pStyle w:val="FirstParagraph"/>
      </w:pPr>
      <w:r>
        <w:t xml:space="preserve">I used the software called Geneious Prime to analyze the integrity of the</w:t>
      </w:r>
      <w:r>
        <w:t xml:space="preserve"> </w:t>
      </w:r>
      <w:r>
        <w:t xml:space="preserve">sequencing data delivered from MCLAB. After reviewing the quality of the</w:t>
      </w:r>
      <w:r>
        <w:t xml:space="preserve"> </w:t>
      </w:r>
      <w:r>
        <w:t xml:space="preserve">samples, I determined 3 usable raw sequences with long stretches of</w:t>
      </w:r>
      <w:r>
        <w:t xml:space="preserve"> </w:t>
      </w:r>
      <w:r>
        <w:t xml:space="preserve">high-quality reads and trimmed it by removing poor quality reads near the</w:t>
      </w:r>
      <w:r>
        <w:t xml:space="preserve"> </w:t>
      </w:r>
      <w:r>
        <w:t xml:space="preserve">primer site and at the end. After cleaning the sequences, I aligned the</w:t>
      </w:r>
      <w:r>
        <w:t xml:space="preserve"> </w:t>
      </w:r>
      <w:r>
        <w:t xml:space="preserve">trimmed sequences along with Thermus aquaticus as an outgroup. In addition,</w:t>
      </w:r>
      <w:r>
        <w:t xml:space="preserve"> </w:t>
      </w:r>
      <w:r>
        <w:t xml:space="preserve">I used two phylogeny programs, PhyML and MrBayes, within Geneious Prime to</w:t>
      </w:r>
      <w:r>
        <w:t xml:space="preserve"> </w:t>
      </w:r>
      <w:r>
        <w:t xml:space="preserve">construct phylogenetic trees of the aligned sequences. Lastly, I loaded the</w:t>
      </w:r>
      <w:r>
        <w:t xml:space="preserve"> </w:t>
      </w:r>
      <w:r>
        <w:t xml:space="preserve">3 cleaned sequences and 1 failed sequence into BLAST to identify its gene</w:t>
      </w:r>
      <w:r>
        <w:t xml:space="preserve"> </w:t>
      </w:r>
      <w:r>
        <w:t xml:space="preserve">families.</w:t>
      </w:r>
    </w:p>
    <w:p>
      <w:pPr>
        <w:pStyle w:val="Heading1"/>
      </w:pPr>
      <w:bookmarkStart w:id="29" w:name="results"/>
      <w:r>
        <w:t xml:space="preserve">Results</w:t>
      </w:r>
      <w:bookmarkEnd w:id="29"/>
    </w:p>
    <w:p>
      <w:pPr>
        <w:pStyle w:val="Heading2"/>
      </w:pPr>
      <w:bookmarkStart w:id="30" w:name="culture-qubit-dna-concentration"/>
      <w:r>
        <w:t xml:space="preserve">Culture Qubit DNA concentration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Sample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DNA Conc. (ng/uL)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15.10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12.40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14.30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abundan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1:</w:t>
      </w:r>
      <w:r>
        <w:t xml:space="preserve"> </w:t>
      </w:r>
      <w:r>
        <w:t xml:space="preserve">Boxplot of colony abundances at different storage conditions,</w:t>
      </w:r>
      <w:r>
        <w:t xml:space="preserve"> </w:t>
      </w:r>
      <w:r>
        <w:t xml:space="preserve">1x dilution. Despite a higher median number of colonies from room temperature</w:t>
      </w:r>
      <w:r>
        <w:t xml:space="preserve"> </w:t>
      </w:r>
      <w:r>
        <w:t xml:space="preserve">samples, the mean numbers of colonies were not significantly different between</w:t>
      </w:r>
      <w:r>
        <w:t xml:space="preserve"> </w:t>
      </w:r>
      <w:r>
        <w:t xml:space="preserve">the two storage conditions (Wilcox p = 0.06).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0.0636026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morpho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2:</w:t>
      </w:r>
      <w:r>
        <w:t xml:space="preserve"> </w:t>
      </w:r>
      <w:r>
        <w:t xml:space="preserve">Boxplot showing the number of morphotypes from the two different</w:t>
      </w:r>
      <w:r>
        <w:t xml:space="preserve"> </w:t>
      </w:r>
      <w:r>
        <w:t xml:space="preserve">storage conditions. There was no difference in the mean number of morphotypes</w:t>
      </w:r>
      <w:r>
        <w:t xml:space="preserve"> </w:t>
      </w:r>
      <w:r>
        <w:t xml:space="preserve">(Wilcox p=0.19).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0.1876323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images/Phylogenies/Sanger_MrBayes_phylogen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discussion"/>
      <w:r>
        <w:t xml:space="preserve">Discussion</w:t>
      </w:r>
      <w:bookmarkEnd w:id="34"/>
    </w:p>
    <w:p>
      <w:pPr>
        <w:pStyle w:val="Heading1"/>
      </w:pPr>
      <w:bookmarkStart w:id="35" w:name="sources-cited"/>
      <w:r>
        <w:t xml:space="preserve">Sources Cited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 Here</dc:title>
  <dc:creator>Kris Choi</dc:creator>
  <cp:keywords/>
  <dcterms:created xsi:type="dcterms:W3CDTF">2019-10-16T02:38:10Z</dcterms:created>
  <dcterms:modified xsi:type="dcterms:W3CDTF">2019-10-16T02:38:10Z</dcterms:modified>
</cp:coreProperties>
</file>