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7.png" ContentType="image/png"/>
  <Override PartName="/word/media/rId53.png" ContentType="image/png"/>
  <Override PartName="/word/media/rId56.png" ContentType="image/png"/>
  <Override PartName="/word/media/rId64.png" ContentType="image/png"/>
  <Override PartName="/word/media/rId60.png" ContentType="image/png"/>
  <Override PartName="/word/media/rId55.png" ContentType="image/png"/>
  <Override PartName="/word/media/rId54.png" ContentType="image/png"/>
  <Override PartName="/word/media/rId63.png" ContentType="image/png"/>
  <Override PartName="/word/media/rId61.png" ContentType="image/png"/>
  <Override PartName="/word/media/rId66.png" ContentType="image/png"/>
  <Override PartName="/word/media/rId65.png" ContentType="image/png"/>
  <Override PartName="/word/media/rId59.png" ContentType="image/png"/>
  <Override PartName="/word/media/rId62.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w:t>
      </w:r>
      <w:r>
        <w:t xml:space="preserve"> </w:t>
      </w:r>
      <w:r>
        <w:t xml:space="preserve">TO</w:t>
      </w:r>
      <w:r>
        <w:t xml:space="preserve"> </w:t>
      </w:r>
      <w:r>
        <w:t xml:space="preserve">CHANGE</w:t>
      </w:r>
      <w:r>
        <w:t xml:space="preserve"> </w:t>
      </w:r>
      <w:r>
        <w:t xml:space="preserve">TITLE</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Heading2"/>
      </w:pPr>
      <w:bookmarkStart w:id="21" w:name="unde-site"/>
      <w:r>
        <w:t xml:space="preserve">UNDE Site</w:t>
      </w:r>
      <w:bookmarkEnd w:id="21"/>
    </w:p>
    <w:p>
      <w:pPr>
        <w:pStyle w:val="FirstParagraph"/>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 In the Great Lakes area NEON is particularly interested in land use and forest management. A balanced and well functioning soil microbiome is vital to the health of the forests found in the UNDE site and the Greak Lakes in general.</w:t>
      </w:r>
    </w:p>
    <w:p>
      <w:pPr>
        <w:pStyle w:val="BodyText"/>
      </w:pPr>
      <w:r>
        <w:t xml:space="preserve">The UNDE site is managed by the University of Notre Dame Environmental Research Center (UNDERC). The site is at an elevation of 518 m, with a mean annual temperature of 3</w:t>
      </w:r>
      <m:oMath>
        <m:sSup>
          <m:e>
            <m:r>
              <m:t>​</m:t>
            </m:r>
          </m:e>
          <m:sup>
            <m:r>
              <m:t>∘</m:t>
            </m:r>
          </m:sup>
        </m:sSup>
      </m:oMath>
      <w:r>
        <w:t xml:space="preserve">, and a moderate 854 mms of annual precipitation.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climate is generally humid, cool, and wet with no true dry season and receives approximately 114 inches of snow annually. The soil families include coarse, loamy, mixed, superactive, frigid, argic fragiaquods. Although, some of the soil on the site is poorly drained, which may cause acidic sphagnum bogs. This is especially troublesome since climate warming can promote the growth of peat mosses and compound this issue</w:t>
      </w:r>
      <w:r>
        <w:t xml:space="preserve"> </w:t>
      </w:r>
      <w:r>
        <w:t xml:space="preserve">(Breeuwer</w:t>
      </w:r>
      <w:r>
        <w:t xml:space="preserve"> </w:t>
      </w:r>
      <w:r>
        <w:rPr>
          <w:i/>
        </w:rPr>
        <w:t xml:space="preserve">et al.</w:t>
      </w:r>
      <w:r>
        <w:t xml:space="preserve">, 2009)</w:t>
      </w:r>
      <w:r>
        <w:t xml:space="preserve">. The presence of sphagnum is known to increase the amount of dissolved organic Nitrogen; reducing Nitrogen immobilization by soil microbes</w:t>
      </w:r>
      <w:r>
        <w:t xml:space="preserve"> </w:t>
      </w:r>
      <w:r>
        <w:t xml:space="preserve">(Bragazza</w:t>
      </w:r>
      <w:r>
        <w:t xml:space="preserve"> </w:t>
      </w:r>
      <w:r>
        <w:rPr>
          <w:i/>
        </w:rPr>
        <w:t xml:space="preserve">et al.</w:t>
      </w:r>
      <w:r>
        <w:t xml:space="preserve">, 2013)</w:t>
      </w:r>
      <w:r>
        <w:t xml:space="preserve">. The competition for nutrients and changes caused by sphagnum bogs and climate warming, can shortcircuit the Nitrogen cycle. In years where sphagnum bogs are prevalent one could expect lower abundances of soil microbes. In addition, ecosystems with a high abundance of nitrogen-fixing bacteria may be more suited to withstand the disruption caused by sphagnum bogs.</w:t>
      </w:r>
    </w:p>
    <w:p>
      <w:pPr>
        <w:pStyle w:val="Heading2"/>
      </w:pPr>
      <w:bookmarkStart w:id="22" w:name="study-objectives"/>
      <w:r>
        <w:t xml:space="preserve">Study Objectives</w:t>
      </w:r>
      <w:bookmarkEnd w:id="22"/>
    </w:p>
    <w:p>
      <w:pPr>
        <w:pStyle w:val="FirstParagraph"/>
      </w:pPr>
      <w:r>
        <w:t xml:space="preserve">The primary objective of this study is to determine which microbes are present at the UNDE site, using the 16S barcode sequence, and how this changes over time. This information provides insight into how these ecosystems respond to climate change and their overall health and function. The potential for sphagnum bog growth at the UNDE site is a primary concern. To that end, I looked for signs to indicate plots at the site which may have issues with sphagnum growth. A secondary objective of this study is to carefully analyze matches against the BLAST database. Many of my colleagues who have collected data from various NEON sites had</w:t>
      </w:r>
      <w:r>
        <w:t xml:space="preserve"> </w:t>
      </w:r>
      <w:r>
        <w:rPr>
          <w:i/>
        </w:rPr>
        <w:t xml:space="preserve">Ralstonia solanacearum</w:t>
      </w:r>
      <w:r>
        <w:t xml:space="preserve"> </w:t>
      </w:r>
      <w:r>
        <w:t xml:space="preserve">as their top BLAST match, and often had</w:t>
      </w:r>
      <w:r>
        <w:t xml:space="preserve"> </w:t>
      </w:r>
      <w:r>
        <w:rPr>
          <w:i/>
        </w:rPr>
        <w:t xml:space="preserve">Staphylococcus aureus</w:t>
      </w:r>
      <w:r>
        <w:t xml:space="preserve"> </w:t>
      </w:r>
      <w:r>
        <w:t xml:space="preserve">among the top of their list.</w:t>
      </w:r>
    </w:p>
    <w:p>
      <w:pPr>
        <w:pStyle w:val="BodyText"/>
      </w:pPr>
      <w:r>
        <w:t xml:space="preserve">The UNDE site has 1192 samples containing sequencing data from soil microbes. The data collected by NEON was be processed for quality control, and sub-sampled. At this point the sub-sampled files will be processed through two pipelines: DADA2 and BLAST. For the BLAST pipeline the samples were trimmed, converted to fasta format and compared to NCBI’s nucleotide database using the BLAST algorithm. After comparison to the nucleotide database, I curated the data in R based on percent identity, sequence match length, expected value, and bitscore. For the DADA2 pipeline, I discarded poor sequences and trimmed the higher quality sequences. Then, I genereated sample inferences using error models and compared the results to a training data set. I used the matches from both the nucleotide database and training data set to make inferences on the type of microbial organisms present.</w:t>
      </w:r>
    </w:p>
    <w:p>
      <w:pPr>
        <w:pStyle w:val="Heading2"/>
      </w:pPr>
      <w:bookmarkStart w:id="23" w:name="major-findings"/>
      <w:r>
        <w:t xml:space="preserve">Major Findings</w:t>
      </w:r>
      <w:bookmarkEnd w:id="23"/>
    </w:p>
    <w:p>
      <w:pPr>
        <w:pStyle w:val="FirstParagraph"/>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4" w:name="methods"/>
      <w:r>
        <w:t xml:space="preserve">Methods</w:t>
      </w:r>
      <w:bookmarkEnd w:id="24"/>
    </w:p>
    <w:p>
      <w:pPr>
        <w:pStyle w:val="FirstParagraph"/>
      </w:pPr>
      <w:r>
        <w:t xml:space="preserve">NEON collected and sequenced the samples from the UNDE site, all data can be found in data product DP1.10108.001 (</w:t>
      </w:r>
      <w:hyperlink r:id="rId25">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6" w:name="sample-collection"/>
      <w:r>
        <w:t xml:space="preserve">Sample Collection</w:t>
      </w:r>
      <w:bookmarkEnd w:id="26"/>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7" w:name="analysis"/>
      <w:r>
        <w:t xml:space="preserve">Analysis</w:t>
      </w:r>
      <w:bookmarkEnd w:id="27"/>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XXXXXX</w:t>
      </w:r>
    </w:p>
    <w:p>
      <w:pPr>
        <w:pStyle w:val="Heading3"/>
      </w:pPr>
      <w:bookmarkStart w:id="28" w:name="downloading-data"/>
      <w:r>
        <w:t xml:space="preserve">Downloading Data</w:t>
      </w:r>
      <w:bookmarkEnd w:id="28"/>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9" w:name="fastqc"/>
      <w:r>
        <w:t xml:space="preserve">Fastqc</w:t>
      </w:r>
      <w:bookmarkEnd w:id="29"/>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30" w:name="sub-sampling"/>
      <w:r>
        <w:t xml:space="preserve">Sub-sampling</w:t>
      </w:r>
      <w:bookmarkEnd w:id="30"/>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31" w:name="trimming"/>
      <w:r>
        <w:t xml:space="preserve">Trimming</w:t>
      </w:r>
      <w:bookmarkEnd w:id="31"/>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32" w:name="blast"/>
      <w:r>
        <w:t xml:space="preserve">BLAST</w:t>
      </w:r>
      <w:bookmarkEnd w:id="32"/>
    </w:p>
    <w:p>
      <w:pPr>
        <w:pStyle w:val="FirstParagraph"/>
      </w:pPr>
      <w:r>
        <w:t xml:space="preserve">I used bioawk (</w:t>
      </w:r>
      <w:hyperlink r:id="rId33">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4" w:name="analyzing-blast-data"/>
      <w:r>
        <w:t xml:space="preserve">Analyzing Blast Data</w:t>
      </w:r>
      <w:bookmarkEnd w:id="34"/>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occured most frequently throughout the dataset. I analyzed the BLAST matches for the five most prevalent to determine my confidence in the results.</w:t>
      </w:r>
    </w:p>
    <w:p>
      <w:pPr>
        <w:pStyle w:val="Heading4"/>
      </w:pPr>
      <w:bookmarkStart w:id="35" w:name="curating"/>
      <w:r>
        <w:t xml:space="preserve">Curating</w:t>
      </w:r>
      <w:bookmarkEnd w:id="35"/>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6" w:name="processing-curated-file"/>
      <w:r>
        <w:t xml:space="preserve">Processing Curated File</w:t>
      </w:r>
      <w:bookmarkEnd w:id="36"/>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7" w:name="dada2-pipeline"/>
      <w:r>
        <w:t xml:space="preserve">DADA2 Pipeline</w:t>
      </w:r>
      <w:bookmarkEnd w:id="37"/>
    </w:p>
    <w:p>
      <w:pPr>
        <w:pStyle w:val="FirstParagraph"/>
      </w:pPr>
      <w:r>
        <w:t xml:space="preserve">I also processed the subsampled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8" w:name="metadata"/>
      <w:r>
        <w:t xml:space="preserve">Metadata</w:t>
      </w:r>
      <w:bookmarkEnd w:id="38"/>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9" w:name="analysis-1"/>
      <w:r>
        <w:t xml:space="preserve">Analysis</w:t>
      </w:r>
      <w:bookmarkEnd w:id="39"/>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 phyloseq</w:t>
      </w:r>
      <w:r>
        <w:t xml:space="preserve">(McMurdie and Holmes, 2013)</w:t>
      </w:r>
      <w:r>
        <w:t xml:space="preserve"> </w:t>
      </w:r>
      <w:r>
        <w:t xml:space="preserve">to visualize the alpha diversity by month and year using the shannon method.</w:t>
      </w:r>
    </w:p>
    <w:p>
      <w:pPr>
        <w:pStyle w:val="Heading1"/>
      </w:pPr>
      <w:bookmarkStart w:id="40" w:name="results"/>
      <w:r>
        <w:t xml:space="preserve">Results</w:t>
      </w:r>
      <w:bookmarkEnd w:id="40"/>
    </w:p>
    <w:p>
      <w:pPr>
        <w:pStyle w:val="Heading2"/>
      </w:pPr>
      <w:bookmarkStart w:id="41" w:name="sequence-counts-and-quality"/>
      <w:r>
        <w:t xml:space="preserve">Sequence Counts and Quality</w:t>
      </w:r>
      <w:bookmarkEnd w:id="41"/>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42" w:name="taxonomic-results"/>
      <w:r>
        <w:t xml:space="preserve">Taxonomic Results</w:t>
      </w:r>
      <w:bookmarkEnd w:id="42"/>
    </w:p>
    <w:p>
      <w:pPr>
        <w:pStyle w:val="FirstParagraph"/>
      </w:pPr>
      <w:r>
        <w:t xml:space="preserve">I found a variety of proteobacteria, spingobacteriales, firmicutes, and staphylococus in the ten most frequent BLAST matches by the highest taxonomic level as seen in Table 1. They were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dropoff to</w:t>
      </w:r>
      <w:r>
        <w:t xml:space="preserve"> </w:t>
      </w:r>
      <w:r>
        <w:rPr>
          <w:i/>
        </w:rPr>
        <w:t xml:space="preserve">Staphylococcus</w:t>
      </w:r>
      <w:r>
        <w:t xml:space="preserve"> </w:t>
      </w:r>
      <w:r>
        <w:t xml:space="preserve">and</w:t>
      </w:r>
      <w:r>
        <w:t xml:space="preserve"> </w:t>
      </w:r>
      <w:r>
        <w:rPr>
          <w:i/>
        </w:rPr>
        <w:t xml:space="preserve">Bradyrhizobium</w:t>
      </w:r>
      <w:r>
        <w:t xml:space="preserve">. The number of raw matches to the NCBI nucleotide database may not be the most reliable method of species identification. So, I compared these top results to the matches from the curated training dataset through the DADA2 pipeline and curated the BLAST data with ggplot.</w:t>
      </w:r>
    </w:p>
    <w:p>
      <w:pPr>
        <w:pStyle w:val="BodyText"/>
      </w:pPr>
      <w:r>
        <w:t xml:space="preserve">A few of the matches were present in both lists, however a number of BLAST matches were not present in the curated database. The ten most frequent genus matches by abundance in the curated dataset were</w:t>
      </w:r>
      <w:r>
        <w:t xml:space="preserve"> </w:t>
      </w:r>
      <w:r>
        <w:rPr>
          <w:i/>
        </w:rPr>
        <w:t xml:space="preserve">Bradyrhizobium</w:t>
      </w:r>
      <w:r>
        <w:t xml:space="preserve">,</w:t>
      </w:r>
      <w:r>
        <w:t xml:space="preserve"> </w:t>
      </w:r>
      <w:r>
        <w:rPr>
          <w:i/>
        </w:rPr>
        <w:t xml:space="preserve">Pseudomons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 As a result, I am fairly confident the samples from UNDE site are dominated by proteobacteria. However, the lack of</w:t>
      </w:r>
      <w:r>
        <w:t xml:space="preserve"> </w:t>
      </w:r>
      <w:r>
        <w:rPr>
          <w:i/>
        </w:rPr>
        <w:t xml:space="preserve">Ralstonia</w:t>
      </w:r>
      <w:r>
        <w:t xml:space="preserve"> </w:t>
      </w:r>
      <w:r>
        <w:t xml:space="preserve">and</w:t>
      </w:r>
      <w:r>
        <w:t xml:space="preserve"> </w:t>
      </w:r>
      <w:r>
        <w:rPr>
          <w:i/>
        </w:rPr>
        <w:t xml:space="preserve">Staphyloccocuus</w:t>
      </w:r>
      <w:r>
        <w:t xml:space="preserve"> </w:t>
      </w:r>
      <w:r>
        <w:t xml:space="preserve">makes me question if the samples are present in the UNDE samples. A summary of the top genera and their abundances can be found in table 2.</w:t>
      </w:r>
    </w:p>
    <w:p>
      <w:pPr>
        <w:pStyle w:val="BodyText"/>
      </w:pPr>
      <w:r>
        <w:t xml:space="preserve">Curation of the BLAST matches based on percent identity, sequence match length, expected value, and bitscore show low quality matches to</w:t>
      </w:r>
      <w:r>
        <w:t xml:space="preserve"> </w:t>
      </w:r>
      <w:r>
        <w:rPr>
          <w:i/>
        </w:rPr>
        <w:t xml:space="preserve">Ralstonia</w:t>
      </w:r>
      <w:r>
        <w:t xml:space="preserve"> </w:t>
      </w:r>
      <w:r>
        <w:t xml:space="preserve">and</w:t>
      </w:r>
      <w:r>
        <w:t xml:space="preserve"> </w:t>
      </w:r>
      <w:r>
        <w:rPr>
          <w:i/>
        </w:rPr>
        <w:t xml:space="preserve">Staphylococcus</w:t>
      </w:r>
      <w:r>
        <w:t xml:space="preserve">. It is unlikely</w:t>
      </w:r>
      <w:r>
        <w:t xml:space="preserve"> </w:t>
      </w:r>
      <w:r>
        <w:rPr>
          <w:i/>
        </w:rPr>
        <w:t xml:space="preserve">Ralstonia</w:t>
      </w:r>
      <w:r>
        <w:t xml:space="preserve"> </w:t>
      </w:r>
      <w:r>
        <w:t xml:space="preserve">is present at the UNDE site because many of the matching sequences had short sequence matches with low percent identities and high expected values and bitscores. In fact, only 945 of the 68508</w:t>
      </w:r>
      <w:r>
        <w:t xml:space="preserve"> </w:t>
      </w:r>
      <w:r>
        <w:rPr>
          <w:i/>
        </w:rPr>
        <w:t xml:space="preserve">Ralstonia</w:t>
      </w:r>
      <w:r>
        <w:t xml:space="preserve"> </w:t>
      </w:r>
      <w:r>
        <w:t xml:space="preserve">samples, or 1.3%, remained after curation. Similarly, I have low confidence in the presence of</w:t>
      </w:r>
      <w:r>
        <w:t xml:space="preserve"> </w:t>
      </w:r>
      <w:r>
        <w:rPr>
          <w:i/>
        </w:rPr>
        <w:t xml:space="preserve">Staphylococcus</w:t>
      </w:r>
      <w:r>
        <w:t xml:space="preserve"> </w:t>
      </w:r>
      <w:r>
        <w:t xml:space="preserve">because of low sequence match lengths and low expected values (expected value &lt; 0.00010, and bitscore &lt; 200). Less than 0.05% of the</w:t>
      </w:r>
      <w:r>
        <w:t xml:space="preserve"> </w:t>
      </w:r>
      <w:r>
        <w:rPr>
          <w:i/>
        </w:rPr>
        <w:t xml:space="preserve">Staphylococcus</w:t>
      </w:r>
      <w:r>
        <w:t xml:space="preserve"> </w:t>
      </w:r>
      <w:r>
        <w:t xml:space="preserve">samples remained after curation. In contrast, I have high confidence in the presence of</w:t>
      </w:r>
      <w:r>
        <w:t xml:space="preserve"> </w:t>
      </w:r>
      <w:r>
        <w:rPr>
          <w:i/>
        </w:rPr>
        <w:t xml:space="preserve">Bradyrhizobium</w:t>
      </w:r>
      <w:r>
        <w:t xml:space="preserve">,</w:t>
      </w:r>
      <w:r>
        <w:t xml:space="preserve"> </w:t>
      </w:r>
      <w:r>
        <w:rPr>
          <w:i/>
        </w:rPr>
        <w:t xml:space="preserve">Pseudomonas</w:t>
      </w:r>
      <w:r>
        <w:t xml:space="preserve">, and proteobacteria at large. All matches for proteobacteria met the specified criteria for curation. More than 90% of the</w:t>
      </w:r>
      <w:r>
        <w:t xml:space="preserve"> </w:t>
      </w:r>
      <w:r>
        <w:rPr>
          <w:i/>
        </w:rPr>
        <w:t xml:space="preserve">Bradyrhizobium</w:t>
      </w:r>
      <w:r>
        <w:t xml:space="preserve"> </w:t>
      </w:r>
      <w:r>
        <w:t xml:space="preserve">samples met the specified criteria while 86% of the</w:t>
      </w:r>
      <w:r>
        <w:t xml:space="preserve"> </w:t>
      </w:r>
      <w:r>
        <w:rPr>
          <w:i/>
        </w:rPr>
        <w:t xml:space="preserve">Pseudomonas</w:t>
      </w:r>
      <w:r>
        <w:t xml:space="preserve"> </w:t>
      </w:r>
      <w:r>
        <w:t xml:space="preserve">samples met the specified criteria. Figues 4 through 7 show the distribution of values for the BLAST matches by their description. In each graph there is a red line depicting the cutoff value used for the corresponding value.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BodyText"/>
      </w:pPr>
      <w:r>
        <w:t xml:space="preserve">I found the top 3 species for the genera</w:t>
      </w:r>
      <w:r>
        <w:t xml:space="preserve"> </w:t>
      </w:r>
      <w:r>
        <w:rPr>
          <w:i/>
        </w:rPr>
        <w:t xml:space="preserve">Bradyrhizobium</w:t>
      </w:r>
      <w:r>
        <w:t xml:space="preserve"> </w:t>
      </w:r>
      <w:r>
        <w:t xml:space="preserve">and</w:t>
      </w:r>
      <w:r>
        <w:t xml:space="preserve"> </w:t>
      </w:r>
      <w:r>
        <w:rPr>
          <w:i/>
        </w:rPr>
        <w:t xml:space="preserve">Pseudomonas</w:t>
      </w:r>
      <w:r>
        <w:t xml:space="preserve">. There was 1144</w:t>
      </w:r>
      <w:r>
        <w:t xml:space="preserve"> </w:t>
      </w:r>
      <w:r>
        <w:rPr>
          <w:i/>
        </w:rPr>
        <w:t xml:space="preserve">Bradyrhizobium elkanii</w:t>
      </w:r>
      <w:r>
        <w:t xml:space="preserve">, 849</w:t>
      </w:r>
      <w:r>
        <w:t xml:space="preserve"> </w:t>
      </w:r>
      <w:r>
        <w:rPr>
          <w:i/>
        </w:rPr>
        <w:t xml:space="preserve">Bradyrhizobium sp.</w:t>
      </w:r>
      <w:r>
        <w:t xml:space="preserve">, 89</w:t>
      </w:r>
      <w:r>
        <w:t xml:space="preserve"> </w:t>
      </w:r>
      <w:r>
        <w:rPr>
          <w:i/>
        </w:rPr>
        <w:t xml:space="preserve">Bradyrhizobium erythrophlei</w:t>
      </w:r>
      <w:r>
        <w:t xml:space="preserve">, 288</w:t>
      </w:r>
      <w:r>
        <w:t xml:space="preserve"> </w:t>
      </w:r>
      <w:r>
        <w:rPr>
          <w:i/>
        </w:rPr>
        <w:t xml:space="preserve">Pseudomonas sp.</w:t>
      </w:r>
      <w:r>
        <w:t xml:space="preserve">, 212</w:t>
      </w:r>
      <w:r>
        <w:t xml:space="preserve"> </w:t>
      </w:r>
      <w:r>
        <w:rPr>
          <w:i/>
        </w:rPr>
        <w:t xml:space="preserve">Pseudomonas frederiksbergensis</w:t>
      </w:r>
      <w:r>
        <w:t xml:space="preserve">, and 140</w:t>
      </w:r>
      <w:r>
        <w:t xml:space="preserve"> </w:t>
      </w:r>
      <w:r>
        <w:rPr>
          <w:i/>
        </w:rPr>
        <w:t xml:space="preserve">Pseudomonas protegens</w:t>
      </w:r>
      <w:r>
        <w:t xml:space="preserve">. The</w:t>
      </w:r>
      <w:r>
        <w:t xml:space="preserve"> </w:t>
      </w:r>
      <w:r>
        <w:rPr>
          <w:i/>
        </w:rPr>
        <w:t xml:space="preserve">Ralstonia</w:t>
      </w:r>
      <w:r>
        <w:t xml:space="preserve"> </w:t>
      </w:r>
      <w:r>
        <w:t xml:space="preserve">matches were predominantly</w:t>
      </w:r>
      <w:r>
        <w:t xml:space="preserve"> </w:t>
      </w:r>
      <w:r>
        <w:rPr>
          <w:i/>
        </w:rPr>
        <w:t xml:space="preserve">Ralstonia solanacearum</w:t>
      </w:r>
      <w:r>
        <w:t xml:space="preserve"> </w:t>
      </w:r>
      <w:r>
        <w:t xml:space="preserve">(68,505 of the 68,508 samples, or 99.99%). Similarly,</w:t>
      </w:r>
      <w:r>
        <w:t xml:space="preserve"> </w:t>
      </w:r>
      <w:r>
        <w:rPr>
          <w:i/>
        </w:rPr>
        <w:t xml:space="preserve">Staphylococcus</w:t>
      </w:r>
      <w:r>
        <w:t xml:space="preserve"> </w:t>
      </w:r>
      <w:r>
        <w:t xml:space="preserve">matches were predominantly</w:t>
      </w:r>
      <w:r>
        <w:t xml:space="preserve"> </w:t>
      </w:r>
      <w:r>
        <w:rPr>
          <w:i/>
        </w:rPr>
        <w:t xml:space="preserve">Staphyloccocus aureus</w:t>
      </w:r>
      <w:r>
        <w:t xml:space="preserve"> </w:t>
      </w:r>
      <w:r>
        <w:t xml:space="preserve">(3,059 of the 3,068, or 99.71%). The species returned for each genus in the BLAST results can be seen in Figure 3 and Table 3.</w:t>
      </w:r>
    </w:p>
    <w:p>
      <w:pPr>
        <w:pStyle w:val="BodyText"/>
      </w:pPr>
      <w:r>
        <w:t xml:space="preserve">Overall, I am highly confident the UNDE site contains a variety of proteobacteria including</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for a number of reasons: the BLAST samples were predominantly proteobacteria including these two genera, the curated dataset matched a large number of proteobacteria and these two genera, the BLAST matches for these samples were high quality (percent identity &gt; 90, sequence match length &gt; 200, expected value &lt; 0.00010, bitscore &gt; 200). However, the low quality BLAST matches and single species dominance makes me skeptical of the presence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in the samples at the UNDE site.</w:t>
      </w:r>
    </w:p>
    <w:p>
      <w:pPr>
        <w:pStyle w:val="Heading2"/>
      </w:pPr>
      <w:bookmarkStart w:id="43" w:name="samples-over-time"/>
      <w:r>
        <w:t xml:space="preserve">Samples over Time</w:t>
      </w:r>
      <w:bookmarkEnd w:id="43"/>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 In total there was eighteen plots sampled from the UNDE site. Seven of the eighteen plots were sampled in both 2016 and 2017: 001, 006, 008, 037, 038, 043, 044. Eight of the plots were only sampled in 2016: 007, 013, 014, 017, 019, 027, 034, and 035. Three of the plots were only sampled in 2017: 002, 003, and 010. Both archaea and bacteria were present in 2016 and 2017 with only a small number of archaea. There was 22 distinct archaea samples and 1,757 distinct bacterial samples matched to the curated database. The dataset contained 1,099 distinct samples in 2016. In contrast, the dataset contained 710 samples in 2017. The relative number of samples by year and Kingdom is illustrated in Figure 10.</w:t>
      </w:r>
    </w:p>
    <w:p>
      <w:pPr>
        <w:pStyle w:val="BodyText"/>
      </w:pPr>
      <w:r>
        <w:t xml:space="preserve">Next, I analyzed the abundance of different Phyla by plot, year, and month. For sixteen of the eighteen plots proteobacteria was the most abundant Phylum. In plot 002 acidobacteria was the most abundant Phylum. Verrucomicrobia was the most abundant Phylum in plot 014. In both cases this abundance was much lower than many of the plots with Proteobacteria as the most abundant Phylum. For both years, Proteobacteria, Acidobacteria, and Actinobacteria were the three most abundant Phyla. The ratio of Phyla remained constant from 2016 to 2017. However, the abundance for each Phyla significantly declined from 2016 to 2017. Unsurprisingly, Proteobacteria was the most abundant Phyla in each month collected for both years. The abundances for all of the Phyla were significantly lower in 2017. Interestingly, no Actinobacteria were found in may of 2017 while it was the third most abundant Phyla in 2016. No samples were collected in October of 2016 and July of 2017.</w:t>
      </w:r>
    </w:p>
    <w:p>
      <w:pPr>
        <w:pStyle w:val="BodyText"/>
      </w:pPr>
      <w:r>
        <w:t xml:space="preserve">Since proteobacteria was the most abundant Phyla I looked into the abundance of different genera of Proteobacteria. The most abundant proteobacteria was</w:t>
      </w:r>
      <w:r>
        <w:t xml:space="preserve"> </w:t>
      </w:r>
      <w:r>
        <w:rPr>
          <w:i/>
        </w:rPr>
        <w:t xml:space="preserve">Bradyrhizobium</w:t>
      </w:r>
      <w:r>
        <w:t xml:space="preserve"> </w:t>
      </w:r>
      <w:r>
        <w:t xml:space="preserve">followed by</w:t>
      </w:r>
      <w:r>
        <w:t xml:space="preserve"> </w:t>
      </w:r>
      <w:r>
        <w:rPr>
          <w:i/>
        </w:rPr>
        <w:t xml:space="preserve">Pseudomonas</w:t>
      </w:r>
      <w:r>
        <w:t xml:space="preserve">,</w:t>
      </w:r>
      <w:r>
        <w:t xml:space="preserve"> </w:t>
      </w:r>
      <w:r>
        <w:rPr>
          <w:i/>
        </w:rPr>
        <w:t xml:space="preserve">Roseiarcus</w:t>
      </w:r>
      <w:r>
        <w:t xml:space="preserve">, and</w:t>
      </w:r>
      <w:r>
        <w:t xml:space="preserve"> </w:t>
      </w:r>
      <w:r>
        <w:rPr>
          <w:i/>
        </w:rPr>
        <w:t xml:space="preserve">Burkholderia</w:t>
      </w:r>
      <w:r>
        <w:t xml:space="preserve">. Proteobacteria as a whole were more abundant during May and August. However,</w:t>
      </w:r>
      <w:r>
        <w:t xml:space="preserve"> </w:t>
      </w:r>
      <w:r>
        <w:rPr>
          <w:i/>
        </w:rPr>
        <w:t xml:space="preserve">Pseudomonas</w:t>
      </w:r>
      <w:r>
        <w:t xml:space="preserve"> </w:t>
      </w:r>
      <w:r>
        <w:t xml:space="preserve">and</w:t>
      </w:r>
      <w:r>
        <w:t xml:space="preserve"> </w:t>
      </w:r>
      <w:r>
        <w:rPr>
          <w:i/>
        </w:rPr>
        <w:t xml:space="preserve">Roseiarcus</w:t>
      </w:r>
      <w:r>
        <w:t xml:space="preserve"> </w:t>
      </w:r>
      <w:r>
        <w:t xml:space="preserve">were almost twice as abundant during May than August.</w:t>
      </w:r>
      <w:r>
        <w:t xml:space="preserve"> </w:t>
      </w:r>
      <w:r>
        <w:rPr>
          <w:i/>
        </w:rPr>
        <w:t xml:space="preserve">Gaiella</w:t>
      </w:r>
      <w:r>
        <w:t xml:space="preserve"> </w:t>
      </w:r>
      <w:r>
        <w:t xml:space="preserve">were the most abundant Actinobacteria, followed by</w:t>
      </w:r>
      <w:r>
        <w:t xml:space="preserve"> </w:t>
      </w:r>
      <w:r>
        <w:rPr>
          <w:i/>
        </w:rPr>
        <w:t xml:space="preserve">Myobacterium</w:t>
      </w:r>
      <w:r>
        <w:t xml:space="preserve">.</w:t>
      </w:r>
      <w:r>
        <w:t xml:space="preserve"> </w:t>
      </w:r>
      <w:r>
        <w:rPr>
          <w:i/>
        </w:rPr>
        <w:t xml:space="preserve">Gaiella</w:t>
      </w:r>
      <w:r>
        <w:t xml:space="preserve"> </w:t>
      </w:r>
      <w:r>
        <w:t xml:space="preserve">was only present during May.</w:t>
      </w:r>
    </w:p>
    <w:p>
      <w:pPr>
        <w:pStyle w:val="BodyText"/>
      </w:pPr>
      <w:r>
        <w:t xml:space="preserve">Finally, I assessed the diversity of samples by plot by month and by year. Diversity was much higher for each plot during 2016. However, there are a significantly fewer diversity points plotted for 2017. For the months May, July, and August there does not appear to be a clear pattern for diversity. In plots 001, 007, 027, 035, 037, and 038 diversity seems to be higher in August than May. In plot 019 diversity appears to be higher in May than July. The highest diversity was in plot 001 in August.</w:t>
      </w:r>
    </w:p>
    <w:p>
      <w:pPr>
        <w:pStyle w:val="Heading1"/>
      </w:pPr>
      <w:bookmarkStart w:id="44" w:name="discussion"/>
      <w:r>
        <w:t xml:space="preserve">Discussion</w:t>
      </w:r>
      <w:bookmarkEnd w:id="44"/>
    </w:p>
    <w:p>
      <w:pPr>
        <w:pStyle w:val="Heading2"/>
      </w:pPr>
      <w:bookmarkStart w:id="45" w:name="overview"/>
      <w:r>
        <w:t xml:space="preserve">Overview</w:t>
      </w:r>
      <w:bookmarkEnd w:id="45"/>
    </w:p>
    <w:p>
      <w:pPr>
        <w:pStyle w:val="FirstParagraph"/>
      </w:pPr>
      <w:r>
        <w:t xml:space="preserve">The UNDE site, in Michigan, near the great lakes has a second-growth Northern mesic forest and Evergreen forests with various trees including maple, aspen, birch, cedar, and black spruce. In addition, the site has woody wetlands dominated by thicks of alder. However, the land has a known susceptibility to overgrowth of acidic sphagnum bogs which outcompete other species impacting the soil microbiome.</w:t>
      </w:r>
    </w:p>
    <w:p>
      <w:pPr>
        <w:pStyle w:val="BodyText"/>
      </w:pPr>
      <w:r>
        <w:t xml:space="preserve">The data collected by NEON from this site varied in quality, but contained a substantial amount of genetic information. The 1192 samples had 51,289,602 sequences. Half of the subsampled sequences were high quality, passing the trimming step of the pipeline. The inspected fastqc samples were also of sufficient quality.</w:t>
      </w:r>
    </w:p>
    <w:p>
      <w:pPr>
        <w:pStyle w:val="BodyText"/>
      </w:pPr>
      <w:r>
        <w:t xml:space="preserve">I found a variety of proteobacteria, acidobacteria, and actinobacteria among the matches to both the BLAST analysis and DADA2 pipeline. Most notably, I found a high abundance of proteobacteria especially</w:t>
      </w:r>
      <w:r>
        <w:t xml:space="preserve"> </w:t>
      </w:r>
      <w:r>
        <w:rPr>
          <w:i/>
        </w:rPr>
        <w:t xml:space="preserve">Bradyrhizbium</w:t>
      </w:r>
      <w:r>
        <w:t xml:space="preserve"> </w:t>
      </w:r>
      <w:r>
        <w:t xml:space="preserve">and</w:t>
      </w:r>
      <w:r>
        <w:t xml:space="preserve"> </w:t>
      </w:r>
      <w:r>
        <w:rPr>
          <w:i/>
        </w:rPr>
        <w:t xml:space="preserve">Pseudomonas</w:t>
      </w:r>
      <w:r>
        <w:t xml:space="preserve">. Many of the BLAST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low quality and were discarded after curation. It is likely these results were artifacts of sequencing or sequence matching.</w:t>
      </w:r>
    </w:p>
    <w:p>
      <w:pPr>
        <w:pStyle w:val="BodyText"/>
      </w:pPr>
      <w:r>
        <w:t xml:space="preserve">– climate change observations</w:t>
      </w:r>
    </w:p>
    <w:p>
      <w:pPr>
        <w:pStyle w:val="BodyText"/>
      </w:pPr>
      <w:r>
        <w:t xml:space="preserve">– brief overview of changes over time</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6" w:name="taxonomic-interpretation"/>
      <w:r>
        <w:t xml:space="preserve">Taxonomic Interpretation</w:t>
      </w:r>
      <w:bookmarkEnd w:id="46"/>
    </w:p>
    <w:p>
      <w:pPr>
        <w:pStyle w:val="FirstParagraph"/>
      </w:pPr>
      <w:r>
        <w:t xml:space="preserve">I am not confident in the presence of</w:t>
      </w:r>
      <w:r>
        <w:t xml:space="preserve"> </w:t>
      </w:r>
      <w:r>
        <w:rPr>
          <w:i/>
        </w:rPr>
        <w:t xml:space="preserve">Staphylococcus aureus</w:t>
      </w:r>
      <w:r>
        <w:t xml:space="preserve"> </w:t>
      </w:r>
      <w:r>
        <w:t xml:space="preserve">and</w:t>
      </w:r>
      <w:r>
        <w:t xml:space="preserve"> </w:t>
      </w:r>
      <w:r>
        <w:rPr>
          <w:i/>
        </w:rPr>
        <w:t xml:space="preserve">Ralstonia solanacearum</w:t>
      </w:r>
      <w:r>
        <w:t xml:space="preserve"> </w:t>
      </w:r>
      <w:r>
        <w:t xml:space="preserve">at the UNDE site. The firmicute</w:t>
      </w:r>
      <w:r>
        <w:t xml:space="preserve"> </w:t>
      </w:r>
      <w:r>
        <w:rPr>
          <w:i/>
        </w:rPr>
        <w:t xml:space="preserve">Staphyloccocus aureus</w:t>
      </w:r>
      <w:r>
        <w:t xml:space="preserve"> </w:t>
      </w:r>
      <w:r>
        <w:t xml:space="preserve">is frequently found on the skin of humans. Since the sample matches were relatively small there is a chance these samples matched to</w:t>
      </w:r>
      <w:r>
        <w:t xml:space="preserve"> </w:t>
      </w:r>
      <w:r>
        <w:rPr>
          <w:i/>
        </w:rPr>
        <w:t xml:space="preserve">Staphylococcus aureus</w:t>
      </w:r>
      <w:r>
        <w:t xml:space="preserve"> </w:t>
      </w:r>
      <w:r>
        <w:t xml:space="preserve">were contamined from the time of collection to sequencing.</w:t>
      </w:r>
      <w:r>
        <w:t xml:space="preserve"> </w:t>
      </w:r>
      <w:r>
        <w:rPr>
          <w:i/>
        </w:rPr>
        <w:t xml:space="preserve">Ralstonia solanacearum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Interestingly,</w:t>
      </w:r>
      <w:r>
        <w:t xml:space="preserve"> </w:t>
      </w:r>
      <w:r>
        <w:rPr>
          <w:i/>
        </w:rPr>
        <w:t xml:space="preserve">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there is a chance many of the samples matched to</w:t>
      </w:r>
      <w:r>
        <w:t xml:space="preserve"> </w:t>
      </w:r>
      <w:r>
        <w:rPr>
          <w:i/>
        </w:rPr>
        <w:t xml:space="preserve">Ralstonia solanacearum</w:t>
      </w:r>
      <w:r>
        <w:t xml:space="preserve"> </w:t>
      </w:r>
      <w:r>
        <w:t xml:space="preserve">were actually memebers of the</w:t>
      </w:r>
      <w:r>
        <w:t xml:space="preserve"> </w:t>
      </w:r>
      <w:r>
        <w:rPr>
          <w:i/>
        </w:rPr>
        <w:t xml:space="preserve">Burkholderia</w:t>
      </w:r>
      <w:r>
        <w:t xml:space="preserve"> </w:t>
      </w:r>
      <w:r>
        <w:t xml:space="preserve">genus. This would explain the large number of low quality matches to</w:t>
      </w:r>
      <w:r>
        <w:t xml:space="preserve"> </w:t>
      </w:r>
      <w:r>
        <w:rPr>
          <w:i/>
        </w:rPr>
        <w:t xml:space="preserve">Ralstonia solanacearum</w:t>
      </w:r>
      <w:r>
        <w:t xml:space="preserve">. However, Workers at the UNDE site should still be aware of the slight possibility of this bacteria’s presence on the property. Since a goal of the site is tree management plants near important tree species should be inspected for infected roots and xylem.</w:t>
      </w:r>
    </w:p>
    <w:p>
      <w:pPr>
        <w:pStyle w:val="BodyText"/>
      </w:pPr>
      <w:r>
        <w:t xml:space="preserve">I am very confident there is a large abundance of proteobacteria and most notably</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at the UNDE site.</w:t>
      </w:r>
      <w:r>
        <w:t xml:space="preserve"> </w:t>
      </w:r>
      <w:r>
        <w:rPr>
          <w:i/>
        </w:rPr>
        <w:t xml:space="preserve">Bradyrhizobium</w:t>
      </w:r>
      <w:r>
        <w:t xml:space="preserve"> </w:t>
      </w:r>
      <w:r>
        <w:t xml:space="preserve">have a key role in nitrogen cycling, helping to maintain soil fertility</w:t>
      </w:r>
      <w:r>
        <w:t xml:space="preserve"> </w:t>
      </w:r>
      <w:r>
        <w:t xml:space="preserve">(Delamuta</w:t>
      </w:r>
      <w:r>
        <w:t xml:space="preserve"> </w:t>
      </w:r>
      <w:r>
        <w:rPr>
          <w:i/>
        </w:rPr>
        <w:t xml:space="preserve">et al.</w:t>
      </w:r>
      <w:r>
        <w:t xml:space="preserve">, 2015)</w:t>
      </w:r>
      <w:r>
        <w:t xml:space="preserve">. Thus, their presence is a positive sign for the health of the UNDE ecosystem. They will be vital to the microbial response following a buildup of sphagnum moss. In addition,</w:t>
      </w:r>
      <w:r>
        <w:t xml:space="preserve"> </w:t>
      </w:r>
      <w:r>
        <w:rPr>
          <w:i/>
        </w:rPr>
        <w:t xml:space="preserve">Pseudomonas</w:t>
      </w:r>
      <w:r>
        <w:t xml:space="preserve"> </w:t>
      </w:r>
      <w:r>
        <w:t xml:space="preserve">is known to protect plants from soil-borne fungal pathogens</w:t>
      </w:r>
      <w:r>
        <w:t xml:space="preserve"> </w:t>
      </w:r>
      <w:r>
        <w:t xml:space="preserve">(Ramette</w:t>
      </w:r>
      <w:r>
        <w:t xml:space="preserve"> </w:t>
      </w:r>
      <w:r>
        <w:rPr>
          <w:i/>
        </w:rPr>
        <w:t xml:space="preserve">et al.</w:t>
      </w:r>
      <w:r>
        <w:t xml:space="preserve">, 2011)</w:t>
      </w:r>
      <w:r>
        <w:t xml:space="preserve">. One of the predominant species in this genus</w:t>
      </w:r>
      <w:r>
        <w:t xml:space="preserve"> </w:t>
      </w:r>
      <w:r>
        <w:rPr>
          <w:i/>
        </w:rPr>
        <w:t xml:space="preserve">Pseudomonas frederikbergensis</w:t>
      </w:r>
      <w:r>
        <w:t xml:space="preserve"> </w:t>
      </w:r>
      <w:r>
        <w:t xml:space="preserve">has proved to provide a similar protection for plants by enhancing cold and soil salinity tolerance in plants</w:t>
      </w:r>
      <w:r>
        <w:t xml:space="preserve"> </w:t>
      </w:r>
      <w:r>
        <w:t xml:space="preserve">(Chatterjee</w:t>
      </w:r>
      <w:r>
        <w:t xml:space="preserve"> </w:t>
      </w:r>
      <w:r>
        <w:rPr>
          <w:i/>
        </w:rPr>
        <w:t xml:space="preserve">et al.</w:t>
      </w:r>
      <w:r>
        <w:t xml:space="preserve">, 2017)</w:t>
      </w:r>
      <w:r>
        <w:t xml:space="preserve">. The combination of these two proteobacteria provide strong indications that the UNDE ecosystem is currently healthy from a soil microbiome perspective. However, the affinity for the UNDE site to develop peat overgrowth is still a primary concern.</w:t>
      </w:r>
      <w:r>
        <w:t xml:space="preserve"> </w:t>
      </w:r>
      <w:r>
        <w:rPr>
          <w:i/>
        </w:rPr>
        <w:t xml:space="preserve">Burkholderia</w:t>
      </w:r>
      <w:r>
        <w:t xml:space="preserve"> </w:t>
      </w:r>
      <w:r>
        <w:t xml:space="preserve">have strong acid tolerances with strains which promote plant growth and strains that are pathogens for humans, animals, and plants</w:t>
      </w:r>
      <w:r>
        <w:t xml:space="preserve"> </w:t>
      </w:r>
      <w:r>
        <w:t xml:space="preserve">(Eberl and Vandamme, 2016)</w:t>
      </w:r>
      <w:r>
        <w:t xml:space="preserve">. Thus, their presence at the UNDE site can be seen as a double-edged sword. Their ability to survive in acidic environments have important implications for how the soil microbiome of the UNDE site could respond to global warming. With an increase in acidic sphagnum bogs, the population of</w:t>
      </w:r>
      <w:r>
        <w:t xml:space="preserve"> </w:t>
      </w:r>
      <w:r>
        <w:rPr>
          <w:i/>
        </w:rPr>
        <w:t xml:space="preserve">Burkholderia</w:t>
      </w:r>
      <w:r>
        <w:t xml:space="preserve"> </w:t>
      </w:r>
      <w:r>
        <w:t xml:space="preserve">is likely to grow. If the</w:t>
      </w:r>
      <w:r>
        <w:t xml:space="preserve"> </w:t>
      </w:r>
      <w:r>
        <w:rPr>
          <w:i/>
        </w:rPr>
        <w:t xml:space="preserve">Burkholderia</w:t>
      </w:r>
      <w:r>
        <w:t xml:space="preserve"> </w:t>
      </w:r>
      <w:r>
        <w:t xml:space="preserve">present at the UNDE site is healthy they would be an ideal nitrogen fixing bacteria to combat the impact of sphagnum overgrowth. However, if the</w:t>
      </w:r>
      <w:r>
        <w:t xml:space="preserve"> </w:t>
      </w:r>
      <w:r>
        <w:rPr>
          <w:i/>
        </w:rPr>
        <w:t xml:space="preserve">Burkholderia</w:t>
      </w:r>
      <w:r>
        <w:t xml:space="preserve"> </w:t>
      </w:r>
      <w:r>
        <w:t xml:space="preserve">are pathogen causing an shift toward acidic sphagnum bogs at the UNDE site could have negative impacts to the surrounding environment.</w:t>
      </w:r>
    </w:p>
    <w:p>
      <w:pPr>
        <w:pStyle w:val="Heading2"/>
      </w:pPr>
      <w:bookmarkStart w:id="47" w:name="changes-over-time"/>
      <w:r>
        <w:t xml:space="preserve">Changes over Time</w:t>
      </w:r>
      <w:bookmarkEnd w:id="47"/>
    </w:p>
    <w:p>
      <w:pPr>
        <w:pStyle w:val="FirstParagraph"/>
      </w:pPr>
      <w:r>
        <w:t xml:space="preserve">Its difficult to make strong inferences on the changes of the composition and diversity of microbial samples collected from the UNDE site due to variance in the number of samples taken between months and years. In addition, the NEON site collection started in 2016 at the site so only two years of data was collected. Different approaches can be taken to improve the data collection to draw meaningful inferences and will be fully discussed in the future work section.</w:t>
      </w:r>
    </w:p>
    <w:p>
      <w:pPr>
        <w:pStyle w:val="Heading2"/>
      </w:pPr>
      <w:bookmarkStart w:id="48" w:name="limitations"/>
      <w:r>
        <w:t xml:space="preserve">Limitations</w:t>
      </w:r>
      <w:bookmarkEnd w:id="48"/>
    </w:p>
    <w:p>
      <w:pPr>
        <w:pStyle w:val="FirstParagraph"/>
      </w:pPr>
      <w:r>
        <w:t xml:space="preserve">I had a number of limitations for this study of the UNDE site. The first limitation is computational tractability. The overwhelming number of samples collected were not possible to analyze in the time permitted. As a result, I had to subsample 0.5% of the sequences collected. This could have introduced a number of bias to the data. For example, by random chance a larger number of samples than representative of the actual dataset could have been sampled during a specific year (like 2016) or month (like May).</w:t>
      </w:r>
    </w:p>
    <w:p>
      <w:pPr>
        <w:pStyle w:val="BodyText"/>
      </w:pPr>
      <w:r>
        <w:t xml:space="preserve">The subsampled data I analyzed had uneven collections which could have resulted from the aforementioned subsampling, or the way NEON sampled the site. In either case this made it difficult to make accurate inferences on the change in composition and diversity over time and by site. Finally, there are only two years of data currently collected at this site. As NEON continues work on the UNDE site, more data can be collected from different months and years to provide more context on the UNDE ecosystem.</w:t>
      </w:r>
    </w:p>
    <w:p>
      <w:pPr>
        <w:pStyle w:val="Heading2"/>
      </w:pPr>
      <w:bookmarkStart w:id="49" w:name="future-work"/>
      <w:r>
        <w:t xml:space="preserve">Future Work</w:t>
      </w:r>
      <w:bookmarkEnd w:id="49"/>
    </w:p>
    <w:p>
      <w:pPr>
        <w:pStyle w:val="FirstParagraph"/>
      </w:pPr>
      <w:r>
        <w:t xml:space="preserve">A large number of future projects can be analyzed from this dataset. I would love to do more analysis without subsampling data (or subsampling to a lesser degree) or subsample the data in a more delicate fashion. One way to go about subsampling would be determine the different plots, months, and years NEON collected samples. Then, one could make sure to obtain an equal number of samples from each condition to make more even comparisons between conditions. Additionally, the metatdata could be used to determine the relative percentage of the total samples in each condition. This could be used to ensure the subsampled data matched the distribution of samples by condition. For instance, if 3% of the samples in the entire dataset were collected at plot 001 in May of 2017, this could be reflected in the subsampled dataset. It was difficult to find information on what happened at the site during 2017. Further analysis into the metadata or an interview with staff at the UNDE site would be useful to determine if the uneven sampling was a result of decreased sampling or less organisms being present during 2017.</w:t>
      </w:r>
    </w:p>
    <w:p>
      <w:pPr>
        <w:pStyle w:val="BodyText"/>
      </w:pPr>
      <w:r>
        <w:t xml:space="preserve">With more time I would break up the data by the type of plots present at the UNDE site: woody wetlands, mixed forest, deciduous forest to see what differences the soil microbiome samples have between site types. This information can be found on the NEON website and likely added to the metadata for the samples collected. I would also curate all of the BLAST matches based on quality score before determining the top 5 genus. This would provide context on the number of high quality matches against the BLAST database. In addition, more comparison matches would be useful to strengthen the inferences made. This could be done with additional training data sets.</w:t>
      </w:r>
    </w:p>
    <w:p>
      <w:pPr>
        <w:pStyle w:val="BodyText"/>
      </w:pPr>
      <w:r>
        <w:t xml:space="preserve">More analysis could be done on the samples which matched</w:t>
      </w:r>
      <w:r>
        <w:t xml:space="preserve"> </w:t>
      </w:r>
      <w:r>
        <w:rPr>
          <w:i/>
        </w:rPr>
        <w:t xml:space="preserve">Ralstonia solanacearum</w:t>
      </w:r>
      <w:r>
        <w:t xml:space="preserve"> </w:t>
      </w:r>
      <w:r>
        <w:t xml:space="preserve">in the NCBI nucleotide database. Since these samples could potentially be related to the</w:t>
      </w:r>
      <w:r>
        <w:t xml:space="preserve"> </w:t>
      </w:r>
      <w:r>
        <w:rPr>
          <w:i/>
        </w:rPr>
        <w:t xml:space="preserve">Burkholderia</w:t>
      </w:r>
      <w:r>
        <w:t xml:space="preserve"> </w:t>
      </w:r>
      <w:r>
        <w:t xml:space="preserve">genus the unique OTUs which matched</w:t>
      </w:r>
      <w:r>
        <w:t xml:space="preserve"> </w:t>
      </w:r>
      <w:r>
        <w:rPr>
          <w:i/>
        </w:rPr>
        <w:t xml:space="preserve">Ralstonia solanacearum</w:t>
      </w:r>
      <w:r>
        <w:t xml:space="preserve"> </w:t>
      </w:r>
      <w:r>
        <w:t xml:space="preserve">could be placed into phylogenetic context with different species of the</w:t>
      </w:r>
      <w:r>
        <w:t xml:space="preserve"> </w:t>
      </w:r>
      <w:r>
        <w:rPr>
          <w:i/>
        </w:rPr>
        <w:t xml:space="preserve">Burkholderia</w:t>
      </w:r>
      <w:r>
        <w:t xml:space="preserve"> </w:t>
      </w:r>
      <w:r>
        <w:t xml:space="preserve">genus and an outgroup. This would provide context into if these samples are a member of this genus or perhaps something else entirely. Additionally, as noted above the</w:t>
      </w:r>
      <w:r>
        <w:t xml:space="preserve"> </w:t>
      </w:r>
      <w:r>
        <w:rPr>
          <w:i/>
        </w:rPr>
        <w:t xml:space="preserve">Burkholderia</w:t>
      </w:r>
      <w:r>
        <w:t xml:space="preserve"> </w:t>
      </w:r>
      <w:r>
        <w:t xml:space="preserve">genus has both benficial and determinal strains. So, if the samples do fit into a larger</w:t>
      </w:r>
      <w:r>
        <w:t xml:space="preserve"> </w:t>
      </w:r>
      <w:r>
        <w:rPr>
          <w:i/>
        </w:rPr>
        <w:t xml:space="preserve">Burkholderia</w:t>
      </w:r>
      <w:r>
        <w:t xml:space="preserve"> </w:t>
      </w:r>
      <w:r>
        <w:t xml:space="preserve">phylogeny one could ascertain which strains of</w:t>
      </w:r>
      <w:r>
        <w:t xml:space="preserve"> </w:t>
      </w:r>
      <w:r>
        <w:rPr>
          <w:i/>
        </w:rPr>
        <w:t xml:space="preserve">Burkholderia</w:t>
      </w:r>
      <w:r>
        <w:t xml:space="preserve"> </w:t>
      </w:r>
      <w:r>
        <w:t xml:space="preserve">the mystery samples more closely resemble.</w:t>
      </w:r>
    </w:p>
    <w:p>
      <w:pPr>
        <w:pStyle w:val="BodyText"/>
      </w:pPr>
      <w:r>
        <w:t xml:space="preserve">Finally, to target the primary objective of determining how the most abundant soil microbial taxa change over time continuing to track the site in the following years is vital. If sphagnum presence was added to the metadata one could track how the microbiome responds to and influences the changes in the ecosystem, especially as concerns over climate warming grow.</w:t>
      </w:r>
    </w:p>
    <w:p>
      <w:pPr>
        <w:pStyle w:val="BodyText"/>
      </w:pPr>
      <w:r>
        <w:t xml:space="preserve">-continue to track this site over time</w:t>
      </w:r>
      <w:r>
        <w:t xml:space="preserve"> </w:t>
      </w:r>
      <w:r>
        <w:t xml:space="preserve">-would love if information about sphagnum bogs is added to metadata</w:t>
      </w:r>
      <w:r>
        <w:t xml:space="preserve"> </w:t>
      </w:r>
      <w:r>
        <w:t xml:space="preserve">-this could provide context into how the soil microbiome changes over time</w:t>
      </w:r>
      <w:r>
        <w:t xml:space="preserve"> </w:t>
      </w:r>
      <w:r>
        <w:t xml:space="preserve">–could lead into the ability of these plots to withstand climate warming</w:t>
      </w:r>
      <w:r>
        <w:t xml:space="preserve"> </w:t>
      </w:r>
      <w:r>
        <w:t xml:space="preserve">–could improve our understanding of how the soil microbiome is influenced by and responds to peat overgrowth</w:t>
      </w:r>
    </w:p>
    <w:p>
      <w:pPr>
        <w:pStyle w:val="Heading1"/>
      </w:pPr>
      <w:bookmarkStart w:id="50" w:name="tables-and-graphs"/>
      <w:r>
        <w:t xml:space="preserve">Tables and Graphs</w:t>
      </w:r>
      <w:bookmarkEnd w:id="50"/>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5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w:t>
            </w:r>
          </w:p>
        </w:tc>
        <w:tc>
          <w:p>
            <w:pPr>
              <w:pStyle w:val="Compact"/>
              <w:jc w:val="right"/>
            </w:pPr>
            <w:r>
              <w:t xml:space="preserve">68508</w:t>
            </w:r>
          </w:p>
        </w:tc>
      </w:tr>
      <w:tr>
        <w:tc>
          <w:p>
            <w:pPr>
              <w:pStyle w:val="Compact"/>
              <w:jc w:val="left"/>
            </w:pPr>
            <w:r>
              <w:rPr>
                <w:i/>
              </w:rPr>
              <w:t xml:space="preserve">Staphylococcus</w:t>
            </w:r>
          </w:p>
        </w:tc>
        <w:tc>
          <w:p>
            <w:pPr>
              <w:pStyle w:val="Compact"/>
              <w:jc w:val="right"/>
            </w:pPr>
            <w:r>
              <w:t xml:space="preserve">3068</w:t>
            </w:r>
          </w:p>
        </w:tc>
      </w:tr>
      <w:tr>
        <w:tc>
          <w:p>
            <w:pPr>
              <w:pStyle w:val="Compact"/>
              <w:jc w:val="left"/>
            </w:pPr>
            <w:r>
              <w:rPr>
                <w:i/>
              </w:rPr>
              <w:t xml:space="preserve">Bradyrhizobium</w:t>
            </w:r>
          </w:p>
        </w:tc>
        <w:tc>
          <w:p>
            <w:pPr>
              <w:pStyle w:val="Compact"/>
              <w:jc w:val="right"/>
            </w:pPr>
            <w:r>
              <w:t xml:space="preserve">2394</w:t>
            </w:r>
          </w:p>
        </w:tc>
      </w:tr>
      <w:tr>
        <w:tc>
          <w:p>
            <w:pPr>
              <w:pStyle w:val="Compact"/>
              <w:jc w:val="left"/>
            </w:pPr>
            <w:r>
              <w:rPr>
                <w:i/>
              </w:rP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rPr>
                <w:i/>
              </w:rPr>
              <w:t xml:space="preserve">Candidatus</w:t>
            </w:r>
          </w:p>
        </w:tc>
        <w:tc>
          <w:p>
            <w:pPr>
              <w:pStyle w:val="Compact"/>
              <w:jc w:val="right"/>
            </w:pPr>
            <w:r>
              <w:t xml:space="preserve">731</w:t>
            </w:r>
          </w:p>
        </w:tc>
      </w:tr>
      <w:tr>
        <w:tc>
          <w:p>
            <w:pPr>
              <w:pStyle w:val="Compact"/>
              <w:jc w:val="left"/>
            </w:pPr>
            <w:r>
              <w:rPr>
                <w:i/>
              </w:rPr>
              <w:t xml:space="preserve">Mucilaginibacter</w:t>
            </w:r>
          </w:p>
        </w:tc>
        <w:tc>
          <w:p>
            <w:pPr>
              <w:pStyle w:val="Compact"/>
              <w:jc w:val="right"/>
            </w:pPr>
            <w:r>
              <w:t xml:space="preserve">691</w:t>
            </w:r>
          </w:p>
        </w:tc>
      </w:tr>
      <w:tr>
        <w:tc>
          <w:p>
            <w:pPr>
              <w:pStyle w:val="Compact"/>
              <w:jc w:val="left"/>
            </w:pPr>
            <w:r>
              <w:rPr>
                <w:i/>
              </w:rPr>
              <w:t xml:space="preserve">Bacillus</w:t>
            </w:r>
          </w:p>
        </w:tc>
        <w:tc>
          <w:p>
            <w:pPr>
              <w:pStyle w:val="Compact"/>
              <w:jc w:val="right"/>
            </w:pPr>
            <w:r>
              <w:t xml:space="preserve">605</w:t>
            </w:r>
          </w:p>
        </w:tc>
      </w:tr>
      <w:tr>
        <w:tc>
          <w:p>
            <w:pPr>
              <w:pStyle w:val="Compact"/>
              <w:jc w:val="left"/>
            </w:pPr>
            <w:r>
              <w:rPr>
                <w:i/>
              </w:rPr>
              <w:t xml:space="preserve">Sphingomonas</w:t>
            </w:r>
          </w:p>
        </w:tc>
        <w:tc>
          <w:p>
            <w:pPr>
              <w:pStyle w:val="Compact"/>
              <w:jc w:val="right"/>
            </w:pPr>
            <w:r>
              <w:t xml:space="preserve">565</w:t>
            </w:r>
          </w:p>
        </w:tc>
      </w:tr>
      <w:tr>
        <w:tc>
          <w:p>
            <w:pPr>
              <w:pStyle w:val="Compact"/>
              <w:jc w:val="left"/>
            </w:pPr>
            <w:r>
              <w:rPr>
                <w:i/>
              </w:rP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rPr>
                <w:i/>
              </w:rPr>
              <w:t xml:space="preserve">Bradyrhizobium</w:t>
            </w:r>
          </w:p>
        </w:tc>
        <w:tc>
          <w:p>
            <w:pPr>
              <w:pStyle w:val="Compact"/>
              <w:jc w:val="right"/>
            </w:pPr>
            <w:r>
              <w:t xml:space="preserve">284</w:t>
            </w:r>
          </w:p>
        </w:tc>
      </w:tr>
      <w:tr>
        <w:tc>
          <w:p>
            <w:pPr>
              <w:pStyle w:val="Compact"/>
              <w:jc w:val="left"/>
            </w:pPr>
            <w:r>
              <w:rPr>
                <w:i/>
              </w:rPr>
              <w:t xml:space="preserve">Pseudomonas</w:t>
            </w:r>
          </w:p>
        </w:tc>
        <w:tc>
          <w:p>
            <w:pPr>
              <w:pStyle w:val="Compact"/>
              <w:jc w:val="right"/>
            </w:pPr>
            <w:r>
              <w:t xml:space="preserve">92</w:t>
            </w:r>
          </w:p>
        </w:tc>
      </w:tr>
      <w:tr>
        <w:tc>
          <w:p>
            <w:pPr>
              <w:pStyle w:val="Compact"/>
              <w:jc w:val="left"/>
            </w:pPr>
            <w:r>
              <w:rPr>
                <w:i/>
              </w:rPr>
              <w:t xml:space="preserve">Roseiarcus</w:t>
            </w:r>
          </w:p>
        </w:tc>
        <w:tc>
          <w:p>
            <w:pPr>
              <w:pStyle w:val="Compact"/>
              <w:jc w:val="right"/>
            </w:pPr>
            <w:r>
              <w:t xml:space="preserve">53</w:t>
            </w:r>
          </w:p>
        </w:tc>
      </w:tr>
      <w:tr>
        <w:tc>
          <w:p>
            <w:pPr>
              <w:pStyle w:val="Compact"/>
              <w:jc w:val="left"/>
            </w:pPr>
            <w:r>
              <w:rPr>
                <w:i/>
              </w:rPr>
              <w:t xml:space="preserve">Burkholderia</w:t>
            </w:r>
          </w:p>
        </w:tc>
        <w:tc>
          <w:p>
            <w:pPr>
              <w:pStyle w:val="Compact"/>
              <w:jc w:val="right"/>
            </w:pPr>
            <w:r>
              <w:t xml:space="preserve">28</w:t>
            </w:r>
          </w:p>
        </w:tc>
      </w:tr>
      <w:tr>
        <w:tc>
          <w:p>
            <w:pPr>
              <w:pStyle w:val="Compact"/>
              <w:jc w:val="left"/>
            </w:pPr>
            <w:r>
              <w:rPr>
                <w:i/>
              </w:rPr>
              <w:t xml:space="preserve">Mycobacterium</w:t>
            </w:r>
          </w:p>
        </w:tc>
        <w:tc>
          <w:p>
            <w:pPr>
              <w:pStyle w:val="Compact"/>
              <w:jc w:val="right"/>
            </w:pPr>
            <w:r>
              <w:t xml:space="preserve">18</w:t>
            </w:r>
          </w:p>
        </w:tc>
      </w:tr>
      <w:tr>
        <w:tc>
          <w:p>
            <w:pPr>
              <w:pStyle w:val="Compact"/>
              <w:jc w:val="left"/>
            </w:pPr>
            <w:r>
              <w:rPr>
                <w:i/>
              </w:rPr>
              <w:t xml:space="preserve">Thermosporothrix</w:t>
            </w:r>
          </w:p>
        </w:tc>
        <w:tc>
          <w:p>
            <w:pPr>
              <w:pStyle w:val="Compact"/>
              <w:jc w:val="right"/>
            </w:pPr>
            <w:r>
              <w:t xml:space="preserve">14</w:t>
            </w:r>
          </w:p>
        </w:tc>
      </w:tr>
      <w:tr>
        <w:tc>
          <w:p>
            <w:pPr>
              <w:pStyle w:val="Compact"/>
              <w:jc w:val="left"/>
            </w:pPr>
            <w:r>
              <w:rPr>
                <w:i/>
              </w:rPr>
              <w:t xml:space="preserve">Gaiella</w:t>
            </w:r>
          </w:p>
        </w:tc>
        <w:tc>
          <w:p>
            <w:pPr>
              <w:pStyle w:val="Compact"/>
              <w:jc w:val="right"/>
            </w:pPr>
            <w:r>
              <w:t xml:space="preserve">13</w:t>
            </w:r>
          </w:p>
        </w:tc>
      </w:tr>
      <w:tr>
        <w:tc>
          <w:p>
            <w:pPr>
              <w:pStyle w:val="Compact"/>
              <w:jc w:val="left"/>
            </w:pPr>
            <w:r>
              <w:rPr>
                <w:i/>
              </w:rPr>
              <w:t xml:space="preserve">Massilia</w:t>
            </w:r>
          </w:p>
        </w:tc>
        <w:tc>
          <w:p>
            <w:pPr>
              <w:pStyle w:val="Compact"/>
              <w:jc w:val="right"/>
            </w:pPr>
            <w:r>
              <w:t xml:space="preserve">9</w:t>
            </w:r>
          </w:p>
        </w:tc>
      </w:tr>
      <w:tr>
        <w:tc>
          <w:p>
            <w:pPr>
              <w:pStyle w:val="Compact"/>
              <w:jc w:val="left"/>
            </w:pPr>
            <w:r>
              <w:rPr>
                <w:i/>
              </w:rPr>
              <w:t xml:space="preserve">Pedomicrobium</w:t>
            </w:r>
          </w:p>
        </w:tc>
        <w:tc>
          <w:p>
            <w:pPr>
              <w:pStyle w:val="Compact"/>
              <w:jc w:val="right"/>
            </w:pPr>
            <w:r>
              <w:t xml:space="preserve">7</w:t>
            </w:r>
          </w:p>
        </w:tc>
      </w:tr>
      <w:tr>
        <w:tc>
          <w:p>
            <w:pPr>
              <w:pStyle w:val="Compact"/>
              <w:jc w:val="left"/>
            </w:pPr>
            <w:r>
              <w:rPr>
                <w:i/>
              </w:rP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 solanacearum</w:t>
            </w:r>
          </w:p>
        </w:tc>
        <w:tc>
          <w:p>
            <w:pPr>
              <w:pStyle w:val="Compact"/>
              <w:jc w:val="right"/>
            </w:pPr>
            <w:r>
              <w:t xml:space="preserve">68505</w:t>
            </w:r>
          </w:p>
        </w:tc>
      </w:tr>
      <w:tr>
        <w:tc>
          <w:p>
            <w:pPr>
              <w:pStyle w:val="Compact"/>
              <w:jc w:val="left"/>
            </w:pPr>
            <w:r>
              <w:rPr>
                <w:i/>
              </w:rPr>
              <w:t xml:space="preserve">Staphylococcus aureus</w:t>
            </w:r>
          </w:p>
        </w:tc>
        <w:tc>
          <w:p>
            <w:pPr>
              <w:pStyle w:val="Compact"/>
              <w:jc w:val="right"/>
            </w:pPr>
            <w:r>
              <w:t xml:space="preserve">3059</w:t>
            </w:r>
          </w:p>
        </w:tc>
      </w:tr>
      <w:tr>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rPr>
                <w:i/>
              </w:rP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rPr>
                <w:i/>
              </w:rP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rPr>
                <w:i/>
              </w:rP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rPr>
                <w:i/>
              </w:rP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and%20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20by%20month%20and%20phyl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67" w:name="sources-cited"/>
      <w:r>
        <w:t xml:space="preserve">Sources Cited</w:t>
      </w:r>
      <w:bookmarkEnd w:id="67"/>
    </w:p>
    <w:bookmarkStart w:id="93" w:name="refs"/>
    <w:bookmarkStart w:id="68" w:name="ref-fastqc"/>
    <w:p>
      <w:pPr>
        <w:pStyle w:val="Bibliography"/>
      </w:pPr>
      <w:r>
        <w:t xml:space="preserve">Andrews,S. (2010) FastQC: A quality control tool for high throughput sequence data.</w:t>
      </w:r>
    </w:p>
    <w:bookmarkEnd w:id="68"/>
    <w:bookmarkStart w:id="69"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9"/>
    <w:bookmarkStart w:id="7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70"/>
    <w:bookmarkStart w:id="71"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1"/>
    <w:bookmarkStart w:id="72" w:name="ref-bragazza2013biogeochemical"/>
    <w:p>
      <w:pPr>
        <w:pStyle w:val="Bibliography"/>
      </w:pPr>
      <w:r>
        <w:t xml:space="preserve">Bragazza,L.</w:t>
      </w:r>
      <w:r>
        <w:t xml:space="preserve"> </w:t>
      </w:r>
      <w:r>
        <w:rPr>
          <w:i/>
        </w:rPr>
        <w:t xml:space="preserve">et al.</w:t>
      </w:r>
      <w:r>
        <w:t xml:space="preserve"> </w:t>
      </w:r>
      <w:r>
        <w:t xml:space="preserve">(2013) Biogeochemical plant–soil microbe feedback in response to climate warming in peatlands.</w:t>
      </w:r>
      <w:r>
        <w:t xml:space="preserve"> </w:t>
      </w:r>
      <w:r>
        <w:rPr>
          <w:i/>
        </w:rPr>
        <w:t xml:space="preserve">Nature Climate Change</w:t>
      </w:r>
      <w:r>
        <w:t xml:space="preserve">,</w:t>
      </w:r>
      <w:r>
        <w:t xml:space="preserve"> </w:t>
      </w:r>
      <w:r>
        <w:rPr>
          <w:b/>
        </w:rPr>
        <w:t xml:space="preserve">3</w:t>
      </w:r>
      <w:r>
        <w:t xml:space="preserve">, 273.</w:t>
      </w:r>
    </w:p>
    <w:bookmarkEnd w:id="72"/>
    <w:bookmarkStart w:id="73" w:name="ref-breeuwer2009decreased"/>
    <w:p>
      <w:pPr>
        <w:pStyle w:val="Bibliography"/>
      </w:pPr>
      <w:r>
        <w:t xml:space="preserve">Breeuwer,A.</w:t>
      </w:r>
      <w:r>
        <w:t xml:space="preserve"> </w:t>
      </w:r>
      <w:r>
        <w:rPr>
          <w:i/>
        </w:rPr>
        <w:t xml:space="preserve">et al.</w:t>
      </w:r>
      <w:r>
        <w:t xml:space="preserve"> </w:t>
      </w:r>
      <w:r>
        <w:t xml:space="preserve">(2009) Decreased summer water table depth affects peatland vegetation.</w:t>
      </w:r>
      <w:r>
        <w:t xml:space="preserve"> </w:t>
      </w:r>
      <w:r>
        <w:rPr>
          <w:i/>
        </w:rPr>
        <w:t xml:space="preserve">Basic and Applied Ecology</w:t>
      </w:r>
      <w:r>
        <w:t xml:space="preserve">,</w:t>
      </w:r>
      <w:r>
        <w:t xml:space="preserve"> </w:t>
      </w:r>
      <w:r>
        <w:rPr>
          <w:b/>
        </w:rPr>
        <w:t xml:space="preserve">10</w:t>
      </w:r>
      <w:r>
        <w:t xml:space="preserve">, 330–339.</w:t>
      </w:r>
    </w:p>
    <w:bookmarkEnd w:id="73"/>
    <w:bookmarkStart w:id="74"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74"/>
    <w:bookmarkStart w:id="7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75"/>
    <w:bookmarkStart w:id="7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76"/>
    <w:bookmarkStart w:id="77" w:name="ref-pseudo2"/>
    <w:p>
      <w:pPr>
        <w:pStyle w:val="Bibliography"/>
      </w:pPr>
      <w:r>
        <w:t xml:space="preserve">Chatterjee,P.</w:t>
      </w:r>
      <w:r>
        <w:t xml:space="preserve"> </w:t>
      </w:r>
      <w:r>
        <w:rPr>
          <w:i/>
        </w:rPr>
        <w:t xml:space="preserve">et al.</w:t>
      </w:r>
      <w:r>
        <w:t xml:space="preserve"> </w:t>
      </w:r>
      <w:r>
        <w:t xml:space="preserve">(2017) Beneficial soil bacterium pseudomonas frederiksbergensis os261 augments salt tolerance and promotes red pepper plant growth.</w:t>
      </w:r>
      <w:r>
        <w:t xml:space="preserve"> </w:t>
      </w:r>
      <w:r>
        <w:rPr>
          <w:i/>
        </w:rPr>
        <w:t xml:space="preserve">Frontiers in plant science</w:t>
      </w:r>
      <w:r>
        <w:t xml:space="preserve">,</w:t>
      </w:r>
      <w:r>
        <w:t xml:space="preserve"> </w:t>
      </w:r>
      <w:r>
        <w:rPr>
          <w:b/>
        </w:rPr>
        <w:t xml:space="preserve">8</w:t>
      </w:r>
      <w:r>
        <w:t xml:space="preserve">, 705.</w:t>
      </w:r>
    </w:p>
    <w:bookmarkEnd w:id="77"/>
    <w:bookmarkStart w:id="78" w:name="ref-bradyrhizobium"/>
    <w:p>
      <w:pPr>
        <w:pStyle w:val="Bibliography"/>
      </w:pPr>
      <w:r>
        <w:t xml:space="preserve">Delamuta,J.R.M.</w:t>
      </w:r>
      <w:r>
        <w:t xml:space="preserve"> </w:t>
      </w:r>
      <w:r>
        <w:rPr>
          <w:i/>
        </w:rPr>
        <w:t xml:space="preserve">et al.</w:t>
      </w:r>
      <w:r>
        <w:t xml:space="preserve"> </w:t>
      </w:r>
      <w:r>
        <w:t xml:space="preserve">(2015) Bradyrhizobium tropiciagri sp. Nov. And bradyrhizobium embrapense sp. Nov., nitrogen-fixing symbionts of tropical forage legumes.</w:t>
      </w:r>
      <w:r>
        <w:t xml:space="preserve"> </w:t>
      </w:r>
      <w:r>
        <w:rPr>
          <w:i/>
        </w:rPr>
        <w:t xml:space="preserve">International Journal of Systematic and Evolutionary Microbiology</w:t>
      </w:r>
      <w:r>
        <w:t xml:space="preserve">,</w:t>
      </w:r>
      <w:r>
        <w:t xml:space="preserve"> </w:t>
      </w:r>
      <w:r>
        <w:rPr>
          <w:b/>
        </w:rPr>
        <w:t xml:space="preserve">65</w:t>
      </w:r>
      <w:r>
        <w:t xml:space="preserve">, 4424–4433.</w:t>
      </w:r>
    </w:p>
    <w:bookmarkEnd w:id="78"/>
    <w:bookmarkStart w:id="79" w:name="ref-burk"/>
    <w:p>
      <w:pPr>
        <w:pStyle w:val="Bibliography"/>
      </w:pPr>
      <w:r>
        <w:t xml:space="preserve">Eberl,L. and Vandamme,P. (2016) Members of the genus burkholderia: Good and bad guys.</w:t>
      </w:r>
      <w:r>
        <w:t xml:space="preserve"> </w:t>
      </w:r>
      <w:r>
        <w:rPr>
          <w:i/>
        </w:rPr>
        <w:t xml:space="preserve">F1000Research</w:t>
      </w:r>
      <w:r>
        <w:t xml:space="preserve">,</w:t>
      </w:r>
      <w:r>
        <w:t xml:space="preserve"> </w:t>
      </w:r>
      <w:r>
        <w:rPr>
          <w:b/>
        </w:rPr>
        <w:t xml:space="preserve">5</w:t>
      </w:r>
      <w:r>
        <w:t xml:space="preserve">.</w:t>
      </w:r>
    </w:p>
    <w:bookmarkEnd w:id="79"/>
    <w:bookmarkStart w:id="80"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80"/>
    <w:bookmarkStart w:id="81"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81"/>
    <w:bookmarkStart w:id="82"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82"/>
    <w:bookmarkStart w:id="83"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83"/>
    <w:bookmarkStart w:id="84"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4"/>
    <w:bookmarkStart w:id="8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85"/>
    <w:bookmarkStart w:id="86" w:name="ref-pseudo1"/>
    <w:p>
      <w:pPr>
        <w:pStyle w:val="Bibliography"/>
      </w:pPr>
      <w:r>
        <w:t xml:space="preserve">Ramette,A.</w:t>
      </w:r>
      <w:r>
        <w:t xml:space="preserve"> </w:t>
      </w:r>
      <w:r>
        <w:rPr>
          <w:i/>
        </w:rPr>
        <w:t xml:space="preserve">et al.</w:t>
      </w:r>
      <w:r>
        <w:t xml:space="preserve"> </w:t>
      </w:r>
      <w:r>
        <w:t xml:space="preserve">(2011) Pseudomonas protegens sp. Nov., widespread plant-protecting bacteria producing the biocontrol compounds 2,4-diacetylphloroglucinol and pyoluteorin.</w:t>
      </w:r>
      <w:r>
        <w:t xml:space="preserve"> </w:t>
      </w:r>
      <w:r>
        <w:rPr>
          <w:i/>
        </w:rPr>
        <w:t xml:space="preserve">Systematic and Applied Microbiology</w:t>
      </w:r>
      <w:r>
        <w:t xml:space="preserve">,</w:t>
      </w:r>
      <w:r>
        <w:t xml:space="preserve"> </w:t>
      </w:r>
      <w:r>
        <w:rPr>
          <w:b/>
        </w:rPr>
        <w:t xml:space="preserve">34</w:t>
      </w:r>
      <w:r>
        <w:t xml:space="preserve">, 180–188.</w:t>
      </w:r>
    </w:p>
    <w:bookmarkEnd w:id="86"/>
    <w:bookmarkStart w:id="87"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87"/>
    <w:bookmarkStart w:id="88"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88"/>
    <w:bookmarkStart w:id="89" w:name="ref-ggplot2"/>
    <w:p>
      <w:pPr>
        <w:pStyle w:val="Bibliography"/>
      </w:pPr>
      <w:r>
        <w:t xml:space="preserve">Wickham,H. (2016) Ggplot2: Elegant graphics for data analysis Springer-Verlag New York.</w:t>
      </w:r>
    </w:p>
    <w:bookmarkEnd w:id="89"/>
    <w:bookmarkStart w:id="90"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90"/>
    <w:bookmarkStart w:id="91"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91"/>
    <w:bookmarkStart w:id="92"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CHANGE TITLE</dc:title>
  <dc:creator>Kory Melton</dc:creator>
  <cp:keywords/>
  <dcterms:created xsi:type="dcterms:W3CDTF">2019-12-07T09:10:26Z</dcterms:created>
  <dcterms:modified xsi:type="dcterms:W3CDTF">2019-12-07T09:10:26Z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