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9/30/2019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The primary aims of this analysis were to assess sequence usability, quality, and length for the 16S sequences. After cleaning the data, BLAST matches were found against NCBI’s GenBank and phylogenetic trees were developed through Maximum Likelihood and Bayesian approaches. The sequences were cleaned conservatively, especially for phylogentic inference, to ensure the integrity of the data.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1" w:name="methods"/>
      <w:r>
        <w:t xml:space="preserve">Methods</w:t>
      </w:r>
      <w:bookmarkEnd w:id="21"/>
    </w:p>
    <w:p>
      <w:pPr>
        <w:pStyle w:val="FirstParagraph"/>
      </w:pPr>
      <w:r>
        <w:t xml:space="preserve">I sorted each of the 40 sequences into two categories: useable and unusable. The useable sequences were trimmed and cleaned and sorted further into very good and acceptable. The very good sequences were aligned and used to create two phylogenies. The acceptable sequences were matched to the BLAST nucleotide database.</w:t>
      </w:r>
    </w:p>
    <w:p>
      <w:pPr>
        <w:pStyle w:val="BodyText"/>
      </w:pPr>
      <w:r>
        <w:t xml:space="preserve">All data files are in the data folder of this project. The raw data files are contained in raw_data and were not altered during this analysis. Once sequences are analyzed and changed the new files are in sequence_data. The multiple sequence alignment and the geneious files for PhyML and MrBayes alignments are contained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Sequences ends were trimmed to reduce low quality on the ends of sequences. Trimming was done conservatively. Bases were trimmed if they contained any baseline contamination, low peaks, messy peaks, or if the peaks began to span multiple nucleotide positions with only one clear peak. After trimming, I assessed the usability of the sequences, separating them into three groups: very good, acceptable, and unusable. Very good sequences had long stretches (more than 100 base pairs) of high quality reads. Very good sequences were cleaned to change any internally miscalled bases and add associated ambiguity codes. Acceptable sequences had mostly high quality reads without long stretches. Poor sequences had some high quality reads, but overall looked messy. Unuseable sequences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The MAFFT settings used were scoring matrix of 200PAM / k=12, gap open penalty of 1.53, and offset value of 0.123. The six sequences were aligned with a 16S sequence from</w:t>
      </w:r>
      <w:r>
        <w:t xml:space="preserve"> </w:t>
      </w:r>
      <w:r>
        <w:rPr>
          <w:i/>
        </w:rPr>
        <w:t xml:space="preserve">Thermus aquaticus</w:t>
      </w:r>
      <w:r>
        <w:t xml:space="preserve">.</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A 16S sequence from</w:t>
      </w:r>
      <w:r>
        <w:t xml:space="preserve"> </w:t>
      </w:r>
      <w:r>
        <w:rPr>
          <w:i/>
        </w:rPr>
        <w:t xml:space="preserve">Thermus aquaticus</w:t>
      </w:r>
      <w:r>
        <w:t xml:space="preserve"> </w:t>
      </w:r>
      <w:r>
        <w:t xml:space="preserve">was used as an outgroup.</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A 16S sequence from</w:t>
      </w:r>
      <w:r>
        <w:t xml:space="preserve"> </w:t>
      </w:r>
      <w:r>
        <w:rPr>
          <w:i/>
        </w:rPr>
        <w:t xml:space="preserve">Thermus aquaticus</w:t>
      </w:r>
      <w:r>
        <w:t xml:space="preserve"> </w:t>
      </w:r>
      <w:r>
        <w:t xml:space="preserve">was used as an outgroup.</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All BLAST searches were done using the highly similar sequences (megablast) algorithm. All matches were selected by choosing which species was most represented at the top of the list.</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Seven sequences were total fails producing only 5 N’s after sanger sequencing. Another 11 had messy sequences throughout with frequent unidentifiable bases scattered throughout the middle of the sequence. All of the 40 sequences were located in 16S.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(Figure 1; ML bootstrap &gt; 80, Figure 2; Bayesian posterior probability &gt; 95 ). Of this I inferred P_1_27f_G04 and AF5_27f_E06 group together (Figure 1; ML bootstrap = 80, Bayesian posterior probaility &gt; 95); and AFM3_27f_C01 grouped with MCU17_27f_B08 (Figure 1; ML bootstrap &gt; 80, Bayesian posterior probaility &gt; 95). I found a closer relationship between AFM3_27f_C01, MCU17_27f_G04, P_1_27f_G04 and AF5_27f_E06 to EM1-9_27f_C05 than MCU12_27f_F07 (Figure 1; ML bootstrap &gt; 80, Bayesian posterior probaility &gt; 95).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Every percent identity was above 80%.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rPr>
                <w:i/>
              </w:rPr>
              <w:t xml:space="preserve">Staphylococcus capitis</w:t>
            </w:r>
            <w:r>
              <w:t xml:space="preserve"> </w:t>
            </w:r>
            <w:r>
              <w:t xml:space="preserve">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rPr>
                <w:i/>
              </w:rPr>
              <w:t xml:space="preserve">Staphylococcus hominis strain</w:t>
            </w:r>
            <w:r>
              <w:t xml:space="preserve"> </w:t>
            </w:r>
            <w:r>
              <w:t xml:space="preserve">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rPr>
                <w:i/>
              </w:rPr>
              <w:t xml:space="preserve">Staphylococcus epidermidis</w:t>
            </w:r>
            <w:r>
              <w:t xml:space="preserve"> </w:t>
            </w:r>
            <w:r>
              <w:t xml:space="preserve">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rPr>
                <w:i/>
              </w:rPr>
              <w:t xml:space="preserve">Staphylococcus hominis</w:t>
            </w:r>
            <w:r>
              <w:t xml:space="preserve"> </w:t>
            </w:r>
            <w:r>
              <w:t xml:space="preserve">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rPr>
                <w:i/>
              </w:rPr>
              <w:t xml:space="preserve">Bacillus licheniformis</w:t>
            </w:r>
            <w:r>
              <w:t xml:space="preserve"> </w:t>
            </w:r>
            <w:r>
              <w:t xml:space="preserve">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rPr>
                <w:i/>
              </w:rPr>
              <w:t xml:space="preserve">Brevundimonas vesicularis</w:t>
            </w:r>
            <w:r>
              <w:t xml:space="preserve"> </w:t>
            </w:r>
            <w:r>
              <w:t xml:space="preserve">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rPr>
                <w:i/>
              </w:rPr>
              <w:t xml:space="preserve">Neisseria perflava</w:t>
            </w:r>
            <w:r>
              <w:t xml:space="preserve"> </w:t>
            </w:r>
            <w:r>
              <w:t xml:space="preserve">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rPr>
                <w:i/>
              </w:rPr>
              <w:t xml:space="preserve">Neisseria perflava</w:t>
            </w:r>
            <w:r>
              <w:t xml:space="preserve"> </w:t>
            </w:r>
            <w:r>
              <w:t xml:space="preserve">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rPr>
                <w:i/>
              </w:rPr>
              <w:t xml:space="preserve">Pantoea sp.</w:t>
            </w:r>
            <w:r>
              <w:t xml:space="preserve"> </w:t>
            </w:r>
            <w:r>
              <w:t xml:space="preserve">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rPr>
                <w:i/>
              </w:rPr>
              <w:t xml:space="preserve">Staphylococcus epidermidis</w:t>
            </w:r>
            <w:r>
              <w:t xml:space="preserve"> </w:t>
            </w:r>
            <w:r>
              <w:t xml:space="preserve">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rPr>
                <w:i/>
              </w:rPr>
              <w:t xml:space="preserve">Bacillus licheniformis</w:t>
            </w:r>
            <w:r>
              <w:t xml:space="preserve"> </w:t>
            </w:r>
            <w:r>
              <w:t xml:space="preserve">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rPr>
                <w:i/>
              </w:rPr>
              <w:t xml:space="preserve">Enterobacteriaceae bacterium</w:t>
            </w:r>
            <w:r>
              <w:t xml:space="preserve"> </w:t>
            </w:r>
            <w:r>
              <w:t xml:space="preserve">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rPr>
                <w:i/>
              </w:rPr>
              <w:t xml:space="preserve">Klebsiella granulomatis</w:t>
            </w:r>
            <w:r>
              <w:t xml:space="preserve"> </w:t>
            </w:r>
            <w:r>
              <w:t xml:space="preserve">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rPr>
                <w:i/>
              </w:rPr>
              <w:t xml:space="preserve">Steptococcus salivarius</w:t>
            </w:r>
            <w:r>
              <w:t xml:space="preserve"> </w:t>
            </w:r>
            <w:r>
              <w:t xml:space="preserve">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rPr>
                <w:i/>
              </w:rPr>
              <w:t xml:space="preserve">Escherichia coli</w:t>
            </w:r>
            <w:r>
              <w:t xml:space="preserve"> </w:t>
            </w:r>
            <w:r>
              <w:t xml:space="preserve">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rPr>
                <w:i/>
              </w:rPr>
              <w:t xml:space="preserve">Pseudomonas sp.</w:t>
            </w:r>
            <w:r>
              <w:t xml:space="preserve"> </w:t>
            </w:r>
            <w:r>
              <w:t xml:space="preserve">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rPr>
                <w:i/>
              </w:rPr>
              <w:t xml:space="preserve">Escherichia coli</w:t>
            </w:r>
            <w:r>
              <w:t xml:space="preserve"> </w:t>
            </w:r>
            <w:r>
              <w:t xml:space="preserve">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rPr>
                <w:i/>
              </w:rPr>
              <w:t xml:space="preserve">Bacillus licheniformis</w:t>
            </w:r>
            <w:r>
              <w:t xml:space="preserve"> </w:t>
            </w:r>
            <w:r>
              <w:t xml:space="preserve">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rPr>
                <w:i/>
              </w:rPr>
              <w:t xml:space="preserve">Pseudomonas sp.</w:t>
            </w:r>
            <w:r>
              <w:t xml:space="preserve"> </w:t>
            </w:r>
            <w:r>
              <w:t xml:space="preserve">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w:t>
            </w:r>
            <w:r>
              <w:t xml:space="preserve"> </w:t>
            </w:r>
            <w:r>
              <w:rPr>
                <w:i/>
              </w:rPr>
              <w:t xml:space="preserve">Paenibacillus sp.</w:t>
            </w:r>
            <w:r>
              <w:t xml:space="preserve"> </w:t>
            </w:r>
            <w:r>
              <w:t xml:space="preserve">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rPr>
                <w:i/>
              </w:rPr>
              <w:t xml:space="preserve">Neisseria sp.</w:t>
            </w:r>
            <w:r>
              <w:t xml:space="preserve"> </w:t>
            </w:r>
            <w:r>
              <w:t xml:space="preserve">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unuseable-sequences"/>
      <w:r>
        <w:t xml:space="preserve">Unuseable Sequences</w:t>
      </w:r>
      <w:bookmarkEnd w:id="35"/>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w:t>
      </w:r>
    </w:p>
    <w:p>
      <w:pPr>
        <w:pStyle w:val="Heading2"/>
      </w:pPr>
      <w:bookmarkStart w:id="36" w:name="blast-1"/>
      <w:r>
        <w:t xml:space="preserve">BLAST</w:t>
      </w:r>
      <w:bookmarkEnd w:id="36"/>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Further sequencing and phylogentic inferences should be used to strengthen the identifications of all of the BLAST matches.</w:t>
      </w:r>
    </w:p>
    <w:p>
      <w:pPr>
        <w:pStyle w:val="Heading2"/>
      </w:pPr>
      <w:bookmarkStart w:id="37" w:name="phylogenetic-context"/>
      <w:r>
        <w:t xml:space="preserve">Phylogenetic Context</w:t>
      </w:r>
      <w:bookmarkEnd w:id="37"/>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An additional tree with</w:t>
      </w:r>
      <w:r>
        <w:t xml:space="preserve"> </w:t>
      </w:r>
      <w:r>
        <w:rPr>
          <w:i/>
        </w:rPr>
        <w:t xml:space="preserve">proteobacteria</w:t>
      </w:r>
      <w:r>
        <w:t xml:space="preserve"> </w:t>
      </w:r>
      <w:r>
        <w:t xml:space="preserve">would also be very informative for the other samples in this dataset.</w:t>
      </w:r>
    </w:p>
    <w:p>
      <w:pPr>
        <w:pStyle w:val="Heading1"/>
      </w:pPr>
      <w:bookmarkStart w:id="38" w:name="sources-cited"/>
      <w:r>
        <w:t xml:space="preserve">Sources Cited</w:t>
      </w:r>
      <w:bookmarkEnd w:id="38"/>
    </w:p>
    <w:bookmarkStart w:id="45" w:name="refs"/>
    <w:bookmarkStart w:id="39"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39"/>
    <w:bookmarkStart w:id="40"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0"/>
    <w:bookmarkStart w:id="41"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1"/>
    <w:bookmarkStart w:id="4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2"/>
    <w:bookmarkStart w:id="43"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3"/>
    <w:bookmarkStart w:id="44"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2019-10-19T03:40:23Z</dcterms:created>
  <dcterms:modified xsi:type="dcterms:W3CDTF">2019-10-19T03:40:23Z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9/30/2019</vt:lpwstr>
  </property>
  <property fmtid="{D5CDD505-2E9C-101B-9397-08002B2CF9AE}" pid="5" name="output">
    <vt:lpwstr>word_document</vt:lpwstr>
  </property>
</Properties>
</file>