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sz w:val="20"/>
          <w:szCs w:val="20"/>
        </w:rPr>
      </w:r>
      <w:r>
        <w:t xml:space="preserve">@扈威</w:t>
      </w:r>
      <w:r>
        <w:rPr>
          <w:b w:val="true"/>
          <w:bCs w:val="true"/>
          <w:sz w:val="20"/>
          <w:szCs w:val="20"/>
        </w:rPr>
      </w:r>
    </w:p>
    <w:p>
      <w:r>
        <w:rPr>
          <w:b w:val="true"/>
          <w:bCs w:val="true"/>
          <w:sz w:val="20"/>
          <w:szCs w:val="20"/>
        </w:rPr>
        <w:t xml:space="preserve">修订历史</w:t>
      </w:r>
    </w:p>
    <w:tbl>
      <w:tblPr>
        <w:tblW w:type="dxa" w:w="12420"/>
        <w:tblStyle w:val="TableGrid"/>
      </w:tblPr>
      <w:tblGrid>
        <w:gridCol w:w="3105"/>
        <w:gridCol w:w="3105"/>
        <w:gridCol w:w="3105"/>
        <w:gridCol w:w="3105"/>
      </w:tblGrid>
      <w:tr>
        <w:tc>
          <w:tcPr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版本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日期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描述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作者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初始草案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2021年10月18日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第一个草案，将在细化阶段进行精化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小组5 扈威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  <w:t xml:space="preserve"> </w:t>
            </w:r>
          </w:p>
        </w:tc>
      </w:tr>
    </w:tbl>
    <w:p>
      <w:r>
        <w:rPr>
          <w:sz w:val="20"/>
          <w:szCs w:val="20"/>
        </w:rPr>
      </w:r>
    </w:p>
    <w:p>
      <w:r>
        <w:rPr>
          <w:b w:val="true"/>
          <w:bCs w:val="true"/>
          <w:sz w:val="20"/>
          <w:szCs w:val="20"/>
        </w:rPr>
        <w:t xml:space="preserve">定义</w:t>
      </w:r>
    </w:p>
    <w:tbl>
      <w:tblPr>
        <w:tblW w:type="dxa" w:w="9675"/>
        <w:tblStyle w:val="TableGrid"/>
      </w:tblPr>
      <w:tblGrid>
        <w:gridCol w:w="1935"/>
        <w:gridCol w:w="1935"/>
        <w:gridCol w:w="1935"/>
        <w:gridCol w:w="1935"/>
        <w:gridCol w:w="1935"/>
      </w:tblGrid>
      <w:tr>
        <w:trPr>
          <w:trHeight w:val="510" w:hRule="atLeast"/>
        </w:trPr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名称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定义和信息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格式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验证规则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别名</w:t>
            </w:r>
          </w:p>
        </w:tc>
      </w:tr>
      <w:tr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健康码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用于识别是否符合入校要求的二维码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有色二维码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未到过中高风险区且审批通过便为绿，否则为红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通行码</w:t>
            </w:r>
          </w:p>
        </w:tc>
      </w:tr>
      <w:tr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申报信息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学生填报的用于申请入校的信息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</w:tr>
      <w:tr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通行认证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用于显示审批结果来确认是否可入校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</w:r>
          </w:p>
        </w:tc>
      </w:tr>
      <w:tr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...</w:t>
            </w:r>
          </w:p>
        </w:tc>
        <w:tc>
          <w:tcPr>
            <w:tcW w:w="1935" w:type="dxa"/>
          </w:tcPr>
          <w:p>
            <w:r>
              <w:rPr>
                <w:sz w:val="20"/>
                <w:szCs w:val="20"/>
              </w:rPr>
              <w:t xml:space="preserve">...</w:t>
            </w:r>
          </w:p>
        </w:tc>
        <w:tc>
          <w:tcPr>
            <w:tcW w:w="1935" w:type="dxa"/>
          </w:tcPr>
          <w:p>
            <w:r/>
          </w:p>
        </w:tc>
        <w:tc>
          <w:tcPr>
            <w:tcW w:w="1935" w:type="dxa"/>
          </w:tcPr>
          <w:p>
            <w:r/>
          </w:p>
        </w:tc>
        <w:tc>
          <w:tcPr>
            <w:tcW w:w="1935" w:type="dxa"/>
          </w:tcPr>
          <w:p>
            <w:r/>
          </w:p>
        </w:tc>
      </w:tr>
    </w:tbl>
    <w:p>
      <w:r/>
    </w:p>
    <w:p>
      <w:r/>
    </w:p>
    <w:p>
      <w:r/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table" w:styleId="TableGrid">
    <w:name w:val="Table Grid"/>
    <w:basedOn w:val="NormalTable"/>
    <w:uiPriority w:val="59"/>
    <w:rsid w:val="000D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2021-10-19T23:06:37Z</dcterms:created>
  <dcterms:modified xsi:type="dcterms:W3CDTF">2021-10-19T23:06:37Z</dcterms:modified>
</cp:coreProperties>
</file>