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r>
        <w:rPr>
          <w:rFonts w:ascii="Berlin Sans FB" w:hAnsi="Berlin Sans FB"/>
          <w:sz w:val="28"/>
          <w:szCs w:val="28"/>
        </w:rPr>
        <w:t xml:space="preserve">2 . 1.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77777777" w:rsidR="00365E7E" w:rsidRDefault="00365E7E" w:rsidP="00365E7E">
      <w:r>
        <w:t>Firstly, before we start this chapter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So, we have to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77777777"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042BBD92" w14:textId="77777777" w:rsidR="00365E7E" w:rsidRDefault="00365E7E" w:rsidP="00365E7E">
      <w:pPr>
        <w:rPr>
          <w:lang w:bidi="ar-EG"/>
        </w:rPr>
      </w:pPr>
      <w:r>
        <w:rPr>
          <w:lang w:bidi="ar-EG"/>
        </w:rPr>
        <w:t>mobile learning is the fastest-evolving learning technology and has ample opportunities in the global learning technology industry. If the app is designed very well [9], it will definitely fulfill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4DF0B149" w14:textId="77777777" w:rsidR="00365E7E" w:rsidRPr="00881482" w:rsidRDefault="00365E7E" w:rsidP="00365E7E">
      <w:pPr>
        <w:rPr>
          <w:b/>
          <w:bCs/>
        </w:rPr>
      </w:pPr>
      <w:r w:rsidRPr="00881482">
        <w:rPr>
          <w:b/>
          <w:bCs/>
        </w:rPr>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6E0CB9F9" w14:textId="77777777" w:rsidR="00365E7E" w:rsidRDefault="00365E7E" w:rsidP="00365E7E">
      <w:r>
        <w:t xml:space="preserve"> Thus, educational apps work the best regarding this issue, as they are always available, and the students can study at their convenience [9].</w:t>
      </w:r>
    </w:p>
    <w:p w14:paraId="79476763" w14:textId="77777777" w:rsidR="00365E7E" w:rsidRDefault="00365E7E" w:rsidP="00365E7E"/>
    <w:p w14:paraId="43562A64" w14:textId="77777777" w:rsidR="00365E7E" w:rsidRDefault="00365E7E" w:rsidP="00365E7E"/>
    <w:p w14:paraId="5BA507AE" w14:textId="77777777" w:rsidR="00365E7E" w:rsidRPr="00565D90" w:rsidRDefault="00365E7E" w:rsidP="00365E7E">
      <w:pPr>
        <w:rPr>
          <w:lang w:bidi="ar-EG"/>
        </w:rPr>
      </w:pPr>
    </w:p>
    <w:p w14:paraId="652497BE" w14:textId="77777777" w:rsidR="00365E7E" w:rsidRPr="00881482" w:rsidRDefault="00365E7E" w:rsidP="00365E7E">
      <w:pPr>
        <w:rPr>
          <w:b/>
          <w:bCs/>
        </w:rPr>
      </w:pPr>
      <w:r w:rsidRPr="00881482">
        <w:rPr>
          <w:b/>
          <w:bCs/>
        </w:rPr>
        <w:lastRenderedPageBreak/>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427171FD" w:rsidR="00365E7E" w:rsidRDefault="00365E7E" w:rsidP="00365E7E">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77777777" w:rsidR="00365E7E" w:rsidRDefault="00365E7E" w:rsidP="00365E7E">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0FB28820" w14:textId="77777777"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4F1CF0C4" w14:textId="77777777" w:rsidR="00365E7E" w:rsidRPr="00A61F56" w:rsidRDefault="00365E7E" w:rsidP="00365E7E">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77777777" w:rsidR="00365E7E" w:rsidRPr="00264B39" w:rsidRDefault="00365E7E" w:rsidP="00365E7E">
      <w:pPr>
        <w:rPr>
          <w:rFonts w:cstheme="minorHAnsi"/>
          <w:b/>
          <w:bCs/>
          <w:sz w:val="24"/>
          <w:szCs w:val="24"/>
        </w:rPr>
      </w:pPr>
      <w:r>
        <w:rPr>
          <w:b/>
          <w:bCs/>
          <w:sz w:val="28"/>
          <w:szCs w:val="28"/>
        </w:rPr>
        <w:t xml:space="preserve">2.2.5. </w:t>
      </w:r>
      <w:r w:rsidRPr="00264B39">
        <w:rPr>
          <w:rFonts w:cstheme="minorHAnsi"/>
          <w:b/>
          <w:bCs/>
          <w:sz w:val="24"/>
          <w:szCs w:val="24"/>
        </w:rPr>
        <w:t>Why the games?</w:t>
      </w:r>
    </w:p>
    <w:p w14:paraId="4A058E2F" w14:textId="7777777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77777777"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have to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A lot of games contain new skills that child didn't know before. For example, learn the concepts of programming, and how to make software like games, Also learn the concepts of electric circuits.</w:t>
      </w:r>
    </w:p>
    <w:p w14:paraId="6647F712" w14:textId="7CE51D95" w:rsidR="0072132E" w:rsidRDefault="00365E7E" w:rsidP="0072132E">
      <w:pPr>
        <w:rPr>
          <w:rFonts w:cstheme="minorHAnsi"/>
          <w:b/>
          <w:bCs/>
          <w:sz w:val="28"/>
          <w:szCs w:val="28"/>
        </w:rPr>
      </w:pPr>
      <w:r w:rsidRPr="00C742B7">
        <w:rPr>
          <w:rFonts w:cstheme="minorHAnsi"/>
          <w:b/>
          <w:bCs/>
          <w:sz w:val="28"/>
          <w:szCs w:val="28"/>
        </w:rPr>
        <w:lastRenderedPageBreak/>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 </w:t>
      </w:r>
      <w:r>
        <w:rPr>
          <w:rFonts w:cstheme="minorHAnsi"/>
          <w:b/>
          <w:bCs/>
          <w:sz w:val="28"/>
          <w:szCs w:val="28"/>
        </w:rPr>
        <w:t xml:space="preserve"> Badri</w:t>
      </w:r>
    </w:p>
    <w:p w14:paraId="5C321680" w14:textId="17856093" w:rsidR="00ED48A8" w:rsidRPr="00ED48A8" w:rsidRDefault="00ED48A8" w:rsidP="00ED48A8">
      <w:pPr>
        <w:rPr>
          <w:rFonts w:cstheme="minorHAnsi"/>
          <w:sz w:val="28"/>
          <w:szCs w:val="28"/>
        </w:rPr>
      </w:pPr>
      <w:r w:rsidRPr="00ED48A8">
        <w:rPr>
          <w:rFonts w:cstheme="minorHAnsi"/>
          <w:sz w:val="28"/>
          <w:szCs w:val="28"/>
        </w:rPr>
        <w:t xml:space="preserve">Rewarding is one of the factors that influence student learning outcomes so it is crucial to available of </w:t>
      </w:r>
      <w:r w:rsidRPr="00ED48A8">
        <w:rPr>
          <w:rFonts w:cstheme="minorHAnsi"/>
          <w:sz w:val="28"/>
          <w:szCs w:val="28"/>
        </w:rPr>
        <w:t>it, it’s</w:t>
      </w:r>
      <w:r w:rsidRPr="00ED48A8">
        <w:rPr>
          <w:rFonts w:cstheme="minorHAnsi"/>
          <w:sz w:val="28"/>
          <w:szCs w:val="28"/>
        </w:rPr>
        <w:t xml:space="preserve">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the students feel comfortable and enjoy learning [1] by using a reward system to maximize the understanding for the learning content [3][4].</w:t>
      </w:r>
    </w:p>
    <w:p w14:paraId="29625885" w14:textId="104BE296" w:rsidR="007F436A" w:rsidRDefault="00ED48A8" w:rsidP="007F436A">
      <w:pPr>
        <w:rPr>
          <w:rFonts w:cstheme="minorHAnsi"/>
          <w:sz w:val="28"/>
          <w:szCs w:val="28"/>
        </w:rPr>
      </w:pPr>
      <w:r w:rsidRPr="00ED48A8">
        <w:rPr>
          <w:rFonts w:cstheme="minorHAnsi"/>
          <w:sz w:val="28"/>
          <w:szCs w:val="28"/>
        </w:rPr>
        <w:t xml:space="preserve">According to [2],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0BFE254D" w14:textId="2832183F" w:rsidR="00ED1AF8" w:rsidRDefault="00ED1AF8" w:rsidP="007F436A">
      <w:pPr>
        <w:rPr>
          <w:rFonts w:cstheme="minorHAnsi"/>
          <w:sz w:val="28"/>
          <w:szCs w:val="28"/>
        </w:rPr>
      </w:pPr>
    </w:p>
    <w:p w14:paraId="6FCBC636" w14:textId="713F6DC7" w:rsidR="007F436A" w:rsidRDefault="0072132E" w:rsidP="007F436A">
      <w:p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51DA68E3" wp14:editId="4FD34549">
            <wp:simplePos x="0" y="0"/>
            <wp:positionH relativeFrom="margin">
              <wp:posOffset>2934982</wp:posOffset>
            </wp:positionH>
            <wp:positionV relativeFrom="paragraph">
              <wp:posOffset>10423</wp:posOffset>
            </wp:positionV>
            <wp:extent cx="3474720" cy="3148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4720" cy="314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132E">
        <w:rPr>
          <w:rFonts w:cstheme="minorHAnsi"/>
          <w:sz w:val="28"/>
          <w:szCs w:val="28"/>
        </w:rPr>
        <w:t>The research methods section of this article [3] contains a straightforward architecture that illustrates and discusses the general structure of the game reward model.</w:t>
      </w:r>
      <w:r w:rsidRPr="0072132E">
        <w:rPr>
          <w:rFonts w:cstheme="minorHAnsi"/>
          <w:sz w:val="28"/>
          <w:szCs w:val="28"/>
        </w:rPr>
        <w:t xml:space="preserve"> </w:t>
      </w:r>
    </w:p>
    <w:p w14:paraId="06A414BE" w14:textId="5F91315D" w:rsidR="00ED1AF8" w:rsidRDefault="00ED1AF8" w:rsidP="007F436A">
      <w:pPr>
        <w:rPr>
          <w:rFonts w:cstheme="minorHAnsi"/>
          <w:sz w:val="28"/>
          <w:szCs w:val="28"/>
        </w:rPr>
      </w:pPr>
    </w:p>
    <w:p w14:paraId="601F9353" w14:textId="3663CF7D" w:rsidR="00ED1AF8" w:rsidRDefault="00ED1AF8" w:rsidP="007F436A">
      <w:pPr>
        <w:rPr>
          <w:rFonts w:cstheme="minorHAnsi"/>
          <w:sz w:val="28"/>
          <w:szCs w:val="28"/>
        </w:rPr>
      </w:pPr>
    </w:p>
    <w:p w14:paraId="2E1BBD50" w14:textId="793A63CD" w:rsidR="00ED1AF8" w:rsidRDefault="00ED1AF8" w:rsidP="007F436A">
      <w:pPr>
        <w:rPr>
          <w:rFonts w:cstheme="minorHAnsi"/>
          <w:sz w:val="28"/>
          <w:szCs w:val="28"/>
        </w:rPr>
      </w:pPr>
    </w:p>
    <w:p w14:paraId="5013A316" w14:textId="1C646753" w:rsidR="00ED1AF8" w:rsidRDefault="00ED1AF8" w:rsidP="007F436A">
      <w:pPr>
        <w:rPr>
          <w:rFonts w:cstheme="minorHAnsi"/>
          <w:sz w:val="28"/>
          <w:szCs w:val="28"/>
        </w:rPr>
      </w:pPr>
    </w:p>
    <w:p w14:paraId="52DC96F2" w14:textId="739799CD" w:rsidR="00ED1AF8" w:rsidRDefault="00ED1AF8" w:rsidP="007F436A">
      <w:pPr>
        <w:rPr>
          <w:rFonts w:cstheme="minorHAnsi"/>
          <w:sz w:val="28"/>
          <w:szCs w:val="28"/>
        </w:rPr>
      </w:pPr>
    </w:p>
    <w:p w14:paraId="4858F33D" w14:textId="17783A10" w:rsidR="00ED1AF8" w:rsidRDefault="00ED1AF8" w:rsidP="007F436A">
      <w:pPr>
        <w:rPr>
          <w:rFonts w:cstheme="minorHAnsi"/>
          <w:sz w:val="28"/>
          <w:szCs w:val="28"/>
        </w:rPr>
      </w:pPr>
    </w:p>
    <w:p w14:paraId="7A58358D" w14:textId="77777777" w:rsidR="00ED1AF8" w:rsidRPr="007F436A" w:rsidRDefault="00ED1AF8" w:rsidP="007F436A">
      <w:pPr>
        <w:rPr>
          <w:rFonts w:cstheme="minorHAnsi"/>
          <w:sz w:val="28"/>
          <w:szCs w:val="28"/>
        </w:rPr>
      </w:pPr>
    </w:p>
    <w:p w14:paraId="12896C03" w14:textId="0435A902" w:rsidR="00365E7E" w:rsidRPr="00C742B7" w:rsidRDefault="00365E7E" w:rsidP="00BB1502">
      <w:pPr>
        <w:rPr>
          <w:rFonts w:cstheme="minorHAnsi"/>
          <w:b/>
          <w:bCs/>
          <w:sz w:val="28"/>
          <w:szCs w:val="28"/>
        </w:rPr>
      </w:pPr>
      <w:r w:rsidRPr="00C742B7">
        <w:rPr>
          <w:rFonts w:cstheme="minorHAnsi"/>
          <w:b/>
          <w:bCs/>
          <w:sz w:val="28"/>
          <w:szCs w:val="28"/>
        </w:rPr>
        <w:lastRenderedPageBreak/>
        <w:t>2.2.</w:t>
      </w:r>
      <w:r w:rsidR="007F436A">
        <w:rPr>
          <w:rFonts w:cstheme="minorHAnsi"/>
          <w:b/>
          <w:bCs/>
          <w:sz w:val="28"/>
          <w:szCs w:val="28"/>
        </w:rPr>
        <w:t>7</w:t>
      </w:r>
      <w:r w:rsidRPr="00C742B7">
        <w:rPr>
          <w:rFonts w:cstheme="minorHAnsi"/>
          <w:b/>
          <w:bCs/>
          <w:sz w:val="28"/>
          <w:szCs w:val="28"/>
        </w:rPr>
        <w:t>. choosing frameworks //</w:t>
      </w:r>
      <w:r>
        <w:rPr>
          <w:rFonts w:cstheme="minorHAnsi"/>
          <w:b/>
          <w:bCs/>
          <w:sz w:val="28"/>
          <w:szCs w:val="28"/>
        </w:rPr>
        <w:t xml:space="preserve"> </w:t>
      </w:r>
      <w:proofErr w:type="spellStart"/>
      <w:r>
        <w:rPr>
          <w:rFonts w:cstheme="minorHAnsi"/>
          <w:b/>
          <w:bCs/>
          <w:sz w:val="28"/>
          <w:szCs w:val="28"/>
        </w:rPr>
        <w:t>Saif</w:t>
      </w:r>
      <w:proofErr w:type="spellEnd"/>
    </w:p>
    <w:p w14:paraId="223DACFD" w14:textId="4DACCEFB" w:rsidR="008119C0" w:rsidRDefault="008119C0">
      <w:pPr>
        <w:rPr>
          <w:b/>
          <w:bCs/>
          <w:sz w:val="24"/>
          <w:szCs w:val="24"/>
        </w:rPr>
      </w:pPr>
      <w:r>
        <w:rPr>
          <w:b/>
          <w:bCs/>
          <w:sz w:val="24"/>
          <w:szCs w:val="24"/>
        </w:rPr>
        <w:br w:type="page"/>
      </w:r>
    </w:p>
    <w:p w14:paraId="798D4BD2" w14:textId="77777777" w:rsidR="00365E7E" w:rsidRPr="00881482" w:rsidRDefault="00365E7E" w:rsidP="00365E7E">
      <w:pPr>
        <w:rPr>
          <w:b/>
          <w:bCs/>
          <w:sz w:val="24"/>
          <w:szCs w:val="24"/>
        </w:rPr>
      </w:pP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t>2.3. conclusion</w:t>
      </w:r>
      <w:bookmarkEnd w:id="0"/>
    </w:p>
    <w:p w14:paraId="32CFB9A6" w14:textId="6611F3F0" w:rsidR="00EF2F5E" w:rsidRDefault="00EF2F5E" w:rsidP="00365E7E">
      <w:pPr>
        <w:rPr>
          <w:rFonts w:ascii="Berlin Sans FB" w:hAnsi="Berlin Sans FB"/>
          <w:sz w:val="28"/>
          <w:szCs w:val="28"/>
        </w:rPr>
      </w:pPr>
    </w:p>
    <w:p w14:paraId="59C827D6" w14:textId="35A0D230" w:rsidR="00EF2F5E" w:rsidRDefault="00EF2F5E" w:rsidP="00365E7E">
      <w:pPr>
        <w:rPr>
          <w:rFonts w:ascii="Berlin Sans FB" w:hAnsi="Berlin Sans FB"/>
          <w:sz w:val="28"/>
          <w:szCs w:val="28"/>
        </w:rPr>
      </w:pPr>
      <w:r>
        <w:rPr>
          <w:rFonts w:ascii="Berlin Sans FB" w:hAnsi="Berlin Sans FB"/>
          <w:sz w:val="28"/>
          <w:szCs w:val="28"/>
        </w:rPr>
        <w:t>Reff</w:t>
      </w:r>
    </w:p>
    <w:p w14:paraId="75AC5E6A" w14:textId="401BA6C2" w:rsidR="00EF2F5E" w:rsidRDefault="00EF2F5E" w:rsidP="00365E7E">
      <w:pPr>
        <w:rPr>
          <w:rFonts w:ascii="Noto Sans" w:hAnsi="Noto Sans" w:cs="Noto Sans"/>
          <w:sz w:val="16"/>
          <w:szCs w:val="16"/>
          <w:shd w:val="clear" w:color="auto" w:fill="FFFFFF"/>
        </w:rPr>
      </w:pPr>
      <w:r>
        <w:rPr>
          <w:rFonts w:ascii="Berlin Sans FB" w:hAnsi="Berlin Sans FB"/>
          <w:sz w:val="28"/>
          <w:szCs w:val="28"/>
        </w:rPr>
        <w:t>[1]</w:t>
      </w:r>
      <w:r w:rsidRPr="00EF2F5E">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Ketut</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Sintia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Kesuma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Padmadewi</w:t>
      </w:r>
      <w:proofErr w:type="spellEnd"/>
      <w:r>
        <w:rPr>
          <w:rFonts w:ascii="Noto Sans" w:hAnsi="Noto Sans" w:cs="Noto Sans"/>
          <w:sz w:val="16"/>
          <w:szCs w:val="16"/>
          <w:shd w:val="clear" w:color="auto" w:fill="FFFFFF"/>
        </w:rPr>
        <w:t xml:space="preserve">, N. N., &amp;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K. S. (2022). An Analysis </w:t>
      </w:r>
      <w:proofErr w:type="spellStart"/>
      <w:r>
        <w:rPr>
          <w:rFonts w:ascii="Noto Sans" w:hAnsi="Noto Sans" w:cs="Noto Sans"/>
          <w:sz w:val="16"/>
          <w:szCs w:val="16"/>
          <w:shd w:val="clear" w:color="auto" w:fill="FFFFFF"/>
        </w:rPr>
        <w:t>Analysis</w:t>
      </w:r>
      <w:proofErr w:type="spellEnd"/>
      <w:r>
        <w:rPr>
          <w:rFonts w:ascii="Noto Sans" w:hAnsi="Noto Sans" w:cs="Noto Sans"/>
          <w:sz w:val="16"/>
          <w:szCs w:val="16"/>
          <w:shd w:val="clear" w:color="auto" w:fill="FFFFFF"/>
        </w:rPr>
        <w:t xml:space="preserve"> of Reward System Used in Blended Learning Strategy to Develop Students’ Learning Motivation at North Bali Bilingual School. </w:t>
      </w:r>
      <w:r>
        <w:rPr>
          <w:rFonts w:ascii="Noto Sans" w:hAnsi="Noto Sans" w:cs="Noto Sans"/>
          <w:i/>
          <w:iCs/>
          <w:sz w:val="16"/>
          <w:szCs w:val="16"/>
          <w:shd w:val="clear" w:color="auto" w:fill="FFFFFF"/>
        </w:rPr>
        <w:t>Innovative Education Journal</w:t>
      </w:r>
      <w:r>
        <w:rPr>
          <w:rFonts w:ascii="Noto Sans" w:hAnsi="Noto Sans" w:cs="Noto Sans"/>
          <w:sz w:val="16"/>
          <w:szCs w:val="16"/>
          <w:shd w:val="clear" w:color="auto" w:fill="FFFFFF"/>
        </w:rPr>
        <w:t>, </w:t>
      </w:r>
      <w:r>
        <w:rPr>
          <w:rFonts w:ascii="Noto Sans" w:hAnsi="Noto Sans" w:cs="Noto Sans"/>
          <w:i/>
          <w:iCs/>
          <w:sz w:val="16"/>
          <w:szCs w:val="16"/>
          <w:shd w:val="clear" w:color="auto" w:fill="FFFFFF"/>
        </w:rPr>
        <w:t>1</w:t>
      </w:r>
      <w:r>
        <w:rPr>
          <w:rFonts w:ascii="Noto Sans" w:hAnsi="Noto Sans" w:cs="Noto Sans"/>
          <w:sz w:val="16"/>
          <w:szCs w:val="16"/>
          <w:shd w:val="clear" w:color="auto" w:fill="FFFFFF"/>
        </w:rPr>
        <w:t>(1), 58–63.</w:t>
      </w:r>
    </w:p>
    <w:p w14:paraId="7FD92E19" w14:textId="679A0888" w:rsidR="004E1EC2" w:rsidRDefault="004E1EC2" w:rsidP="00365E7E">
      <w:pPr>
        <w:rPr>
          <w:rFonts w:ascii="Berlin Sans FB" w:hAnsi="Berlin Sans FB"/>
          <w:sz w:val="28"/>
          <w:szCs w:val="28"/>
        </w:rPr>
      </w:pPr>
      <w:r>
        <w:rPr>
          <w:rFonts w:ascii="Noto Sans" w:hAnsi="Noto Sans" w:cs="Noto Sans"/>
          <w:sz w:val="16"/>
          <w:szCs w:val="16"/>
          <w:shd w:val="clear" w:color="auto" w:fill="FFFFFF"/>
        </w:rPr>
        <w:t>[2]</w:t>
      </w:r>
      <w:r w:rsidRPr="004E1EC2">
        <w:rPr>
          <w:rFonts w:ascii="Arial" w:hAnsi="Arial" w:cs="Arial"/>
          <w:sz w:val="17"/>
          <w:szCs w:val="17"/>
          <w:shd w:val="clear" w:color="auto" w:fill="FFFFFF"/>
        </w:rPr>
        <w:t xml:space="preserve"> </w:t>
      </w:r>
      <w:r>
        <w:rPr>
          <w:rFonts w:ascii="Arial" w:hAnsi="Arial" w:cs="Arial"/>
          <w:sz w:val="17"/>
          <w:szCs w:val="17"/>
          <w:shd w:val="clear" w:color="auto" w:fill="FFFFFF"/>
        </w:rPr>
        <w:t xml:space="preserve">Journal of Educational Research and </w:t>
      </w:r>
      <w:proofErr w:type="spellStart"/>
      <w:r>
        <w:rPr>
          <w:rFonts w:ascii="Arial" w:hAnsi="Arial" w:cs="Arial"/>
          <w:sz w:val="17"/>
          <w:szCs w:val="17"/>
          <w:shd w:val="clear" w:color="auto" w:fill="FFFFFF"/>
        </w:rPr>
        <w:t>EvaluationVolume</w:t>
      </w:r>
      <w:proofErr w:type="spellEnd"/>
      <w:r>
        <w:rPr>
          <w:rFonts w:ascii="Arial" w:hAnsi="Arial" w:cs="Arial"/>
          <w:sz w:val="17"/>
          <w:szCs w:val="17"/>
          <w:shd w:val="clear" w:color="auto" w:fill="FFFFFF"/>
        </w:rPr>
        <w:t xml:space="preserve"> 4, Number 3,Tahun 2020, pp. 307-314P-ISSN: 2597-422x E-ISSN: 2549-2675</w:t>
      </w:r>
    </w:p>
    <w:p w14:paraId="0374198D" w14:textId="77777777" w:rsidR="008119C0" w:rsidRDefault="008758FC" w:rsidP="008119C0">
      <w:r>
        <w:t xml:space="preserve">[3] </w:t>
      </w:r>
      <w:r w:rsidR="008119C0">
        <w:rPr>
          <w:rFonts w:ascii="Arial" w:hAnsi="Arial" w:cs="Arial"/>
          <w:color w:val="222222"/>
          <w:sz w:val="20"/>
          <w:szCs w:val="20"/>
          <w:shd w:val="clear" w:color="auto" w:fill="FFFFFF"/>
        </w:rPr>
        <w:t xml:space="preserve">Haryanto, </w:t>
      </w:r>
      <w:proofErr w:type="spellStart"/>
      <w:r w:rsidR="008119C0">
        <w:rPr>
          <w:rFonts w:ascii="Arial" w:hAnsi="Arial" w:cs="Arial"/>
          <w:color w:val="222222"/>
          <w:sz w:val="20"/>
          <w:szCs w:val="20"/>
          <w:shd w:val="clear" w:color="auto" w:fill="FFFFFF"/>
        </w:rPr>
        <w:t>Hanny</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Ardiawan</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Bagus</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Harisa</w:t>
      </w:r>
      <w:proofErr w:type="spellEnd"/>
      <w:r w:rsidR="008119C0">
        <w:rPr>
          <w:rFonts w:ascii="Arial" w:hAnsi="Arial" w:cs="Arial"/>
          <w:color w:val="222222"/>
          <w:sz w:val="20"/>
          <w:szCs w:val="20"/>
          <w:shd w:val="clear" w:color="auto" w:fill="FFFFFF"/>
        </w:rPr>
        <w:t xml:space="preserve">, and Indra </w:t>
      </w:r>
      <w:proofErr w:type="spellStart"/>
      <w:r w:rsidR="008119C0">
        <w:rPr>
          <w:rFonts w:ascii="Arial" w:hAnsi="Arial" w:cs="Arial"/>
          <w:color w:val="222222"/>
          <w:sz w:val="20"/>
          <w:szCs w:val="20"/>
          <w:shd w:val="clear" w:color="auto" w:fill="FFFFFF"/>
        </w:rPr>
        <w:t>Gamayanto</w:t>
      </w:r>
      <w:proofErr w:type="spellEnd"/>
      <w:r w:rsidR="008119C0">
        <w:rPr>
          <w:rFonts w:ascii="Arial" w:hAnsi="Arial" w:cs="Arial"/>
          <w:color w:val="222222"/>
          <w:sz w:val="20"/>
          <w:szCs w:val="20"/>
          <w:shd w:val="clear" w:color="auto" w:fill="FFFFFF"/>
        </w:rPr>
        <w:t>. "Appreciative Learning for Immersive Reward System in Education Game Development." </w:t>
      </w:r>
      <w:r w:rsidR="008119C0">
        <w:rPr>
          <w:rFonts w:ascii="Arial" w:hAnsi="Arial" w:cs="Arial"/>
          <w:i/>
          <w:iCs/>
          <w:color w:val="222222"/>
          <w:sz w:val="20"/>
          <w:szCs w:val="20"/>
          <w:shd w:val="clear" w:color="auto" w:fill="FFFFFF"/>
        </w:rPr>
        <w:t>Journal of Games, Game Art, and Gamification</w:t>
      </w:r>
      <w:r w:rsidR="008119C0">
        <w:rPr>
          <w:rFonts w:ascii="Arial" w:hAnsi="Arial" w:cs="Arial"/>
          <w:color w:val="222222"/>
          <w:sz w:val="20"/>
          <w:szCs w:val="20"/>
          <w:shd w:val="clear" w:color="auto" w:fill="FFFFFF"/>
        </w:rPr>
        <w:t> 6.2 (2021): 32-38.</w:t>
      </w:r>
      <w:r w:rsidR="008119C0">
        <w:t xml:space="preserve"> </w:t>
      </w:r>
    </w:p>
    <w:p w14:paraId="003A7F73" w14:textId="32A873ED" w:rsidR="008758FC" w:rsidRPr="00365E7E" w:rsidRDefault="008758FC" w:rsidP="008119C0">
      <w:r>
        <w:t xml:space="preserve">[4] </w:t>
      </w: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Morsidi</w:t>
      </w:r>
      <w:proofErr w:type="spellEnd"/>
      <w:r>
        <w:rPr>
          <w:rFonts w:ascii="Arial" w:hAnsi="Arial" w:cs="Arial"/>
          <w:color w:val="333333"/>
          <w:sz w:val="20"/>
          <w:szCs w:val="20"/>
          <w:shd w:val="clear" w:color="auto" w:fill="FFFFFF"/>
        </w:rPr>
        <w:t xml:space="preserve">, S. Tajuddin, R. K. </w:t>
      </w:r>
      <w:proofErr w:type="spellStart"/>
      <w:r>
        <w:rPr>
          <w:rFonts w:ascii="Arial" w:hAnsi="Arial" w:cs="Arial"/>
          <w:color w:val="333333"/>
          <w:sz w:val="20"/>
          <w:szCs w:val="20"/>
          <w:shd w:val="clear" w:color="auto" w:fill="FFFFFF"/>
        </w:rPr>
        <w:t>Patchmuthu</w:t>
      </w:r>
      <w:proofErr w:type="spellEnd"/>
      <w:r>
        <w:rPr>
          <w:rFonts w:ascii="Arial" w:hAnsi="Arial" w:cs="Arial"/>
          <w:color w:val="333333"/>
          <w:sz w:val="20"/>
          <w:szCs w:val="20"/>
          <w:shd w:val="clear" w:color="auto" w:fill="FFFFFF"/>
        </w:rPr>
        <w:t xml:space="preserve"> and S. H. S. </w:t>
      </w:r>
      <w:proofErr w:type="spellStart"/>
      <w:r>
        <w:rPr>
          <w:rFonts w:ascii="Arial" w:hAnsi="Arial" w:cs="Arial"/>
          <w:color w:val="333333"/>
          <w:sz w:val="20"/>
          <w:szCs w:val="20"/>
          <w:shd w:val="clear" w:color="auto" w:fill="FFFFFF"/>
        </w:rPr>
        <w:t>Newaz</w:t>
      </w:r>
      <w:proofErr w:type="spellEnd"/>
      <w:r>
        <w:rPr>
          <w:rFonts w:ascii="Arial" w:hAnsi="Arial" w:cs="Arial"/>
          <w:color w:val="333333"/>
          <w:sz w:val="20"/>
          <w:szCs w:val="20"/>
          <w:shd w:val="clear" w:color="auto" w:fill="FFFFFF"/>
        </w:rPr>
        <w:t>, "Blockchain-based Reward System: a Means for Providing Incentive to Students for Teaching Feedback," </w:t>
      </w:r>
      <w:r>
        <w:rPr>
          <w:rStyle w:val="Emphasis"/>
          <w:rFonts w:ascii="Arial" w:hAnsi="Arial" w:cs="Arial"/>
          <w:color w:val="333333"/>
          <w:sz w:val="20"/>
          <w:szCs w:val="20"/>
          <w:shd w:val="clear" w:color="auto" w:fill="FFFFFF"/>
        </w:rPr>
        <w:t>2021 International Conference on Electronics, Communications and Information Technology (ICECIT)</w:t>
      </w:r>
      <w:r>
        <w:rPr>
          <w:rFonts w:ascii="Arial" w:hAnsi="Arial" w:cs="Arial"/>
          <w:color w:val="333333"/>
          <w:sz w:val="20"/>
          <w:szCs w:val="20"/>
          <w:shd w:val="clear" w:color="auto" w:fill="FFFFFF"/>
        </w:rPr>
        <w:t xml:space="preserve">, 2021,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w:t>
      </w:r>
    </w:p>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1E0C1D"/>
    <w:rsid w:val="003645B3"/>
    <w:rsid w:val="00365E7E"/>
    <w:rsid w:val="004E1EC2"/>
    <w:rsid w:val="0072132E"/>
    <w:rsid w:val="007F436A"/>
    <w:rsid w:val="008119C0"/>
    <w:rsid w:val="008758FC"/>
    <w:rsid w:val="008D230F"/>
    <w:rsid w:val="008E5876"/>
    <w:rsid w:val="00BB1502"/>
    <w:rsid w:val="00C10CAC"/>
    <w:rsid w:val="00C47957"/>
    <w:rsid w:val="00ED1AF8"/>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2115</Words>
  <Characters>12083</Characters>
  <Application>Microsoft Office Word</Application>
  <DocSecurity>0</DocSecurity>
  <Lines>416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7</cp:revision>
  <dcterms:created xsi:type="dcterms:W3CDTF">2022-09-21T13:48:00Z</dcterms:created>
  <dcterms:modified xsi:type="dcterms:W3CDTF">2022-09-26T14:21:00Z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