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ED95" w14:textId="77777777" w:rsidR="00EC3F0A" w:rsidRDefault="00EC3F0A" w:rsidP="00EC3F0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Citation: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Mlumun, Yugh Sandra, et al. "Intellectual Impact of Mobile Educational Games on Secondary School Education in Nigeria: Case Study of Government Girls' College Makurdi."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Journal of Information Science and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5.3 (2021): 48-59.</w:t>
      </w:r>
    </w:p>
    <w:p w14:paraId="3708628B" w14:textId="77777777" w:rsidR="00EC3F0A" w:rsidRDefault="00EC3F0A" w:rsidP="00EC3F0A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</w:t>
      </w:r>
    </w:p>
    <w:p w14:paraId="57B93A3F" w14:textId="77777777" w:rsidR="00EC3F0A" w:rsidRDefault="00EC3F0A" w:rsidP="00EC3F0A">
      <w:pPr>
        <w:rPr>
          <w:rtl/>
        </w:rPr>
      </w:pPr>
      <w:proofErr w:type="spellStart"/>
      <w:r w:rsidRPr="003C7D96">
        <w:t>Narzikulovich</w:t>
      </w:r>
      <w:proofErr w:type="spellEnd"/>
      <w:r w:rsidRPr="003C7D96">
        <w:t xml:space="preserve">, N. </w:t>
      </w:r>
      <w:proofErr w:type="gramStart"/>
      <w:r w:rsidRPr="003C7D96">
        <w:t>N. .</w:t>
      </w:r>
      <w:proofErr w:type="gramEnd"/>
      <w:r w:rsidRPr="003C7D96">
        <w:t xml:space="preserve"> (2022). Development of Physical Qualities of Preschool Children by Means of Mobile Games. International Journal of Discoveries and Innovations in Applied Sciences, 2(2), 45–48.</w:t>
      </w:r>
    </w:p>
    <w:p w14:paraId="77FC7539" w14:textId="77777777" w:rsidR="00EC3F0A" w:rsidRPr="003C7D96" w:rsidRDefault="00EC3F0A" w:rsidP="00EC3F0A">
      <w:r>
        <w:t>intro</w:t>
      </w:r>
    </w:p>
    <w:p w14:paraId="2B2A12F4" w14:textId="77777777" w:rsidR="00EC3F0A" w:rsidRDefault="00EC3F0A" w:rsidP="00EC3F0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Citation: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Yu, Z., Gao, M., &amp; Wang, L. (2021). The effect of educational games on learning outcomes, student motivation,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engagement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satisfaction.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522-546.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0825EF3D" w14:textId="77777777" w:rsidR="00EC3F0A" w:rsidRDefault="00EC3F0A" w:rsidP="00EC3F0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Game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define</w:t>
      </w:r>
      <w:proofErr w:type="gramEnd"/>
    </w:p>
    <w:p w14:paraId="3257AD69" w14:textId="77777777" w:rsidR="00EC3F0A" w:rsidRDefault="00EC3F0A" w:rsidP="00EC3F0A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Papadakis, S.,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Alexandraki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F.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Zaranis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N. Mobile device use among preschool-aged children in Greece.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Educ Inf Technol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27</w:t>
      </w:r>
      <w:r>
        <w:rPr>
          <w:rFonts w:ascii="Segoe UI" w:hAnsi="Segoe UI" w:cs="Segoe UI"/>
          <w:color w:val="333333"/>
          <w:shd w:val="clear" w:color="auto" w:fill="FCFCFC"/>
        </w:rPr>
        <w:t xml:space="preserve">, 2717–2750 (2022). </w:t>
      </w:r>
      <w:hyperlink r:id="rId4" w:history="1">
        <w:r w:rsidRPr="0065080F">
          <w:rPr>
            <w:rStyle w:val="Hyperlink"/>
            <w:rFonts w:ascii="Segoe UI" w:hAnsi="Segoe UI" w:cs="Segoe UI"/>
            <w:shd w:val="clear" w:color="auto" w:fill="FCFCFC"/>
          </w:rPr>
          <w:t>https://doi.org/10.1007/s10639-021-10718-6</w:t>
        </w:r>
      </w:hyperlink>
    </w:p>
    <w:p w14:paraId="68A45C19" w14:textId="77777777" w:rsidR="00EC3F0A" w:rsidRDefault="00EC3F0A" w:rsidP="00EC3F0A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Lit</w:t>
      </w:r>
    </w:p>
    <w:p w14:paraId="046E2BD0" w14:textId="77777777" w:rsidR="00EC3F0A" w:rsidRDefault="00EC3F0A" w:rsidP="00EC3F0A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Battistin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T., Dalla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Pozza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N.,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Trentin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Co-designed mini-games for children with visual impairment: a pilot study on their usability.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Multimed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Tools Appl</w:t>
      </w:r>
      <w:r>
        <w:rPr>
          <w:rFonts w:ascii="Segoe UI" w:hAnsi="Segoe UI" w:cs="Segoe UI"/>
          <w:color w:val="333333"/>
          <w:shd w:val="clear" w:color="auto" w:fill="FCFCFC"/>
        </w:rPr>
        <w:t> (2022). https://doi.org/10.1007/s11042-022-13665-7</w:t>
      </w:r>
    </w:p>
    <w:p w14:paraId="1193804A" w14:textId="77777777" w:rsidR="00EC3F0A" w:rsidRDefault="00EC3F0A" w:rsidP="00EC3F0A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Lit</w:t>
      </w:r>
    </w:p>
    <w:p w14:paraId="62AD536C" w14:textId="77777777" w:rsidR="00EC3F0A" w:rsidRDefault="00EC3F0A" w:rsidP="00EC3F0A">
      <w:pPr>
        <w:rPr>
          <w:rFonts w:ascii="Segoe UI" w:hAnsi="Segoe UI" w:cs="Segoe UI"/>
          <w:color w:val="333333"/>
          <w:shd w:val="clear" w:color="auto" w:fill="FCFCFC"/>
        </w:r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Bulut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D.,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Samur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Y.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Cömert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Z. The effect of educational game design process on students’ creativity.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Smart Learn. Environ.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9</w:t>
      </w:r>
      <w:r>
        <w:rPr>
          <w:rFonts w:ascii="Segoe UI" w:hAnsi="Segoe UI" w:cs="Segoe UI"/>
          <w:color w:val="333333"/>
          <w:shd w:val="clear" w:color="auto" w:fill="FCFCFC"/>
        </w:rPr>
        <w:t xml:space="preserve">, 8 (2022). </w:t>
      </w:r>
    </w:p>
    <w:p w14:paraId="2E664D72" w14:textId="77777777" w:rsidR="00EC3F0A" w:rsidRDefault="00EC3F0A" w:rsidP="00EC3F0A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Abs</w:t>
      </w:r>
    </w:p>
    <w:p w14:paraId="25B5E7E1" w14:textId="77777777" w:rsidR="00EC3F0A" w:rsidRDefault="00EC3F0A" w:rsidP="00EC3F0A">
      <w:pP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</w:pPr>
      <w:proofErr w:type="spellStart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>Shufang</w:t>
      </w:r>
      <w:proofErr w:type="spellEnd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Tan, </w:t>
      </w:r>
      <w:proofErr w:type="spellStart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>Wendan</w:t>
      </w:r>
      <w:proofErr w:type="spellEnd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Huang, </w:t>
      </w:r>
      <w:proofErr w:type="spellStart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>Junjie</w:t>
      </w:r>
      <w:proofErr w:type="spellEnd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Shang, 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Research Status and Trends of the Gamification Design for Visually Impaired People in Virtual Reality</w:t>
      </w:r>
      <w:r>
        <w:rPr>
          <w:rStyle w:val="seriestitle"/>
          <w:rFonts w:ascii="Open Sans" w:hAnsi="Open Sans" w:cs="Open Sans"/>
          <w:color w:val="1C1D1E"/>
          <w:sz w:val="21"/>
          <w:szCs w:val="21"/>
          <w:shd w:val="clear" w:color="auto" w:fill="FFFFFF"/>
        </w:rPr>
        <w:t>, HCI in Games</w:t>
      </w:r>
      <w:r>
        <w:rPr>
          <w:rStyle w:val="doi"/>
          <w:rFonts w:ascii="Open Sans" w:hAnsi="Open Sans" w:cs="Open Sans"/>
          <w:color w:val="1C1D1E"/>
          <w:sz w:val="21"/>
          <w:szCs w:val="21"/>
          <w:shd w:val="clear" w:color="auto" w:fill="FFFFFF"/>
        </w:rPr>
        <w:t>, 10.1007/978-3-031-05637-6_41</w:t>
      </w:r>
      <w:r>
        <w:rPr>
          <w:rStyle w:val="page-range"/>
          <w:rFonts w:ascii="Open Sans" w:hAnsi="Open Sans" w:cs="Open Sans"/>
          <w:color w:val="1C1D1E"/>
          <w:sz w:val="21"/>
          <w:szCs w:val="21"/>
          <w:shd w:val="clear" w:color="auto" w:fill="FFFFFF"/>
        </w:rPr>
        <w:t>, (637-651)</w:t>
      </w:r>
      <w:r>
        <w:rPr>
          <w:rStyle w:val="pub-date"/>
          <w:rFonts w:ascii="Open Sans" w:hAnsi="Open Sans" w:cs="Open Sans"/>
          <w:color w:val="1C1D1E"/>
          <w:sz w:val="21"/>
          <w:szCs w:val="21"/>
          <w:shd w:val="clear" w:color="auto" w:fill="FFFFFF"/>
        </w:rPr>
        <w:t>, (2022)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.</w:t>
      </w:r>
    </w:p>
    <w:p w14:paraId="4E8D77EE" w14:textId="77777777" w:rsidR="00EC3F0A" w:rsidRDefault="00EC3F0A" w:rsidP="00EC3F0A">
      <w:pP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Why game</w:t>
      </w:r>
    </w:p>
    <w:p w14:paraId="4255377A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3D1DD4"/>
    <w:rsid w:val="00EC3F0A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s10639-021-1071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1262</Characters>
  <Application>Microsoft Office Word</Application>
  <DocSecurity>0</DocSecurity>
  <Lines>18</Lines>
  <Paragraphs>6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2022-09-21T13:49:00Z</dcterms:created>
  <dcterms:modified xsi:type="dcterms:W3CDTF">2022-09-21T13:49:00Z</dcterms:modified>
</cp:coreProperties>
</file>