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456" w14:textId="0FCD012C" w:rsidR="00F4313E" w:rsidRPr="00881482" w:rsidRDefault="00F4313E" w:rsidP="00F4313E"/>
    <w:p w14:paraId="38923AA9" w14:textId="144B9E8F" w:rsidR="00F4313E" w:rsidRPr="003E64F3" w:rsidRDefault="00BA398A" w:rsidP="00BA398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[1]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Mlumun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Yugh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Sandra, et al. "Intellectual Impact of Mobile Educational Games on Secondary School Education in Nigeria: Case Study of Government Girls' College Makurdi."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American Journal of Information Science and Technology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 5.3 (2021): 48-59.</w:t>
      </w:r>
    </w:p>
    <w:p w14:paraId="44CE5A4D" w14:textId="2EA198EC" w:rsidR="00F4313E" w:rsidRPr="003E64F3" w:rsidRDefault="00BA398A" w:rsidP="00BA398A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[2] </w:t>
      </w:r>
      <w:proofErr w:type="spellStart"/>
      <w:r w:rsidR="00F4313E" w:rsidRPr="003E64F3">
        <w:rPr>
          <w:rFonts w:cstheme="minorHAnsi"/>
          <w:sz w:val="24"/>
          <w:szCs w:val="24"/>
        </w:rPr>
        <w:t>Narzikulovich</w:t>
      </w:r>
      <w:proofErr w:type="spellEnd"/>
      <w:r w:rsidR="00F4313E" w:rsidRPr="003E64F3">
        <w:rPr>
          <w:rFonts w:cstheme="minorHAnsi"/>
          <w:sz w:val="24"/>
          <w:szCs w:val="24"/>
        </w:rPr>
        <w:t>, N. N. . (2022). Development of Physical Qualities of Preschool Children by Means of Mobile Games. International Journal of Discoveries and Innovations in Applied Sciences, 2(2), 45–48.</w:t>
      </w:r>
    </w:p>
    <w:p w14:paraId="3B6B18A9" w14:textId="510983B2" w:rsidR="00F4313E" w:rsidRPr="003E64F3" w:rsidRDefault="00051C1D" w:rsidP="00F431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[3] 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Yu, Z., Gao, M., &amp; Wang, L. (2021). The effect of educational games on learning outcomes, student motivation, </w:t>
      </w:r>
      <w:proofErr w:type="gram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engagement</w:t>
      </w:r>
      <w:proofErr w:type="gram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satisfaction.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Educational Computing Research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59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(3), 522-546.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6013105E" w14:textId="5D7D1ECF" w:rsidR="00F4313E" w:rsidRPr="003E64F3" w:rsidRDefault="00BA398A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[4]</w:t>
      </w:r>
      <w:r w:rsidR="00051C1D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Papadakis, S.,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Alexandraki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F.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Zaranis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N. Mobile device use among preschool-aged children in Greece. </w:t>
      </w:r>
      <w:r w:rsidR="00F4313E"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Educ Inf Technol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="00F4313E"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27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2717–2750 (2022). </w:t>
      </w:r>
    </w:p>
    <w:p w14:paraId="09E5188F" w14:textId="2AECF1CE" w:rsidR="00F4313E" w:rsidRPr="003E64F3" w:rsidRDefault="00051C1D" w:rsidP="00F4313E">
      <w:pPr>
        <w:rPr>
          <w:rFonts w:cstheme="minorHAnsi"/>
          <w:color w:val="1C1D1E"/>
          <w:sz w:val="24"/>
          <w:szCs w:val="24"/>
          <w:shd w:val="clear" w:color="auto" w:fill="FFFFFF"/>
        </w:rPr>
      </w:pPr>
      <w:r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[5] 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Shufang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Tan,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Wendan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Huang,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Junjie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Shang, 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Research Status and Trends of the Gamification Design for Visually Impaired People in Virtual Reality</w:t>
      </w:r>
      <w:r w:rsidR="00F4313E" w:rsidRPr="003E64F3">
        <w:rPr>
          <w:rStyle w:val="seriestitle"/>
          <w:rFonts w:cstheme="minorHAnsi"/>
          <w:color w:val="1C1D1E"/>
          <w:sz w:val="24"/>
          <w:szCs w:val="24"/>
          <w:shd w:val="clear" w:color="auto" w:fill="FFFFFF"/>
        </w:rPr>
        <w:t>, HCI in Games</w:t>
      </w:r>
      <w:r w:rsidR="00F4313E" w:rsidRPr="003E64F3">
        <w:rPr>
          <w:rStyle w:val="doi"/>
          <w:rFonts w:cstheme="minorHAnsi"/>
          <w:color w:val="1C1D1E"/>
          <w:sz w:val="24"/>
          <w:szCs w:val="24"/>
          <w:shd w:val="clear" w:color="auto" w:fill="FFFFFF"/>
        </w:rPr>
        <w:t>, 10.1007/978-3-031-05637-6_41</w:t>
      </w:r>
      <w:r w:rsidR="00F4313E" w:rsidRPr="003E64F3">
        <w:rPr>
          <w:rStyle w:val="page-range"/>
          <w:rFonts w:cstheme="minorHAnsi"/>
          <w:color w:val="1C1D1E"/>
          <w:sz w:val="24"/>
          <w:szCs w:val="24"/>
          <w:shd w:val="clear" w:color="auto" w:fill="FFFFFF"/>
        </w:rPr>
        <w:t>, (637-651)</w:t>
      </w:r>
      <w:r w:rsidR="00F4313E" w:rsidRPr="003E64F3">
        <w:rPr>
          <w:rStyle w:val="pub-date"/>
          <w:rFonts w:cstheme="minorHAnsi"/>
          <w:color w:val="1C1D1E"/>
          <w:sz w:val="24"/>
          <w:szCs w:val="24"/>
          <w:shd w:val="clear" w:color="auto" w:fill="FFFFFF"/>
        </w:rPr>
        <w:t>, (2022)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.</w:t>
      </w:r>
    </w:p>
    <w:p w14:paraId="5662E362" w14:textId="5343E5CB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[6] 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Gillett-Swan, J., Thelander, N. (2021). Child Rights Knowledge and Children’s Education Rights. In: Gillett-Swan, J., Thelander, N. (eds) Children’s Rights from International Educational Perspectives. Transdisciplinary Perspectives in Educational Research, vol 2. Springer, Cham.</w:t>
      </w:r>
    </w:p>
    <w:p w14:paraId="3C176794" w14:textId="54736251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[7]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Zheng, Y. (2021). New Ideas for College Physical Education Development Under the Background of “Internet+ Education”. In: Xu, Z.,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Parizi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R.M., Loyola-González, O., Zhang, X. (eds) Cyber Security Intelligence and Analytics. CSIA 2021. Advances in Intelligent Systems and Computing, vol 1343. Springer, Cham. </w:t>
      </w:r>
    </w:p>
    <w:p w14:paraId="57AF8B65" w14:textId="0818076A" w:rsidR="00F4313E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[8]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Al Abdullatif,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Ahlam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Gameil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Azza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. (2020). Exploring Students' Knowledge and Practice of Digital Citizenship in Higher Education. International Journal of Emerging Technologies in Learning (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iJET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). 15. 122-142. 10.3991/ijet.v15i19.15611.</w:t>
      </w:r>
    </w:p>
    <w:p w14:paraId="1CE13178" w14:textId="77777777" w:rsidR="00051C1D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</w:p>
    <w:p w14:paraId="65231C88" w14:textId="0D2A0DB9" w:rsidR="00F4313E" w:rsidRPr="003E64F3" w:rsidRDefault="00051C1D" w:rsidP="00051C1D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[9] </w:t>
      </w:r>
      <w:proofErr w:type="spellStart"/>
      <w:r w:rsidR="00F4313E" w:rsidRPr="003E64F3">
        <w:rPr>
          <w:rFonts w:cstheme="minorHAnsi"/>
          <w:sz w:val="24"/>
          <w:szCs w:val="24"/>
        </w:rPr>
        <w:t>Mkpojiogu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, Emmanuel &amp; Hussain, </w:t>
      </w:r>
      <w:proofErr w:type="spellStart"/>
      <w:r w:rsidR="00F4313E" w:rsidRPr="003E64F3">
        <w:rPr>
          <w:rFonts w:cstheme="minorHAnsi"/>
          <w:sz w:val="24"/>
          <w:szCs w:val="24"/>
        </w:rPr>
        <w:t>Azham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 &amp; </w:t>
      </w:r>
      <w:proofErr w:type="spellStart"/>
      <w:r w:rsidR="00F4313E" w:rsidRPr="003E64F3">
        <w:rPr>
          <w:rFonts w:cstheme="minorHAnsi"/>
          <w:sz w:val="24"/>
          <w:szCs w:val="24"/>
        </w:rPr>
        <w:t>Onah</w:t>
      </w:r>
      <w:proofErr w:type="spellEnd"/>
      <w:r w:rsidR="00F4313E" w:rsidRPr="003E64F3">
        <w:rPr>
          <w:rFonts w:cstheme="minorHAnsi"/>
          <w:sz w:val="24"/>
          <w:szCs w:val="24"/>
        </w:rPr>
        <w:t>, Monday. (2021). Security Issues in the Use of Mobile Educational Apps: A Review. International Journal of Interactive Mobile Technologies (</w:t>
      </w:r>
      <w:proofErr w:type="spellStart"/>
      <w:r w:rsidR="00F4313E" w:rsidRPr="003E64F3">
        <w:rPr>
          <w:rFonts w:cstheme="minorHAnsi"/>
          <w:sz w:val="24"/>
          <w:szCs w:val="24"/>
        </w:rPr>
        <w:t>iJIM</w:t>
      </w:r>
      <w:proofErr w:type="spellEnd"/>
      <w:r w:rsidR="00F4313E" w:rsidRPr="003E64F3">
        <w:rPr>
          <w:rFonts w:cstheme="minorHAnsi"/>
          <w:sz w:val="24"/>
          <w:szCs w:val="24"/>
        </w:rPr>
        <w:t>). 15. 124-137. 10.3991/ijim.v15i06.20631.</w:t>
      </w:r>
    </w:p>
    <w:p w14:paraId="0F0A709D" w14:textId="2EAAC8E5" w:rsidR="00F4313E" w:rsidRPr="003E64F3" w:rsidRDefault="003E64F3" w:rsidP="00F4313E">
      <w:pPr>
        <w:rPr>
          <w:rFonts w:cstheme="minorHAnsi"/>
          <w:sz w:val="24"/>
          <w:szCs w:val="24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[10]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Du, Y. (2021). Interactive Design Principles of Educational APP Interface.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Sugumaran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V., Xu, Z., Zhou, H. (eds) Application of Intelligent Systems in Multi-modal Information Analytics. MMIA 2021. Advances in Intelligent Systems and Computing, vol 1385. Springer, Cham. </w:t>
      </w:r>
    </w:p>
    <w:p w14:paraId="1E8EFD65" w14:textId="723B03F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[11]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Parrilli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D.M., Hernández-Ramírez, R. (2022). Building a Privacy Oriented UI and UX Design: An Introduction to Its Foundations and Potential Developments. In: Martins, N.,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Brandão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lastRenderedPageBreak/>
        <w:t>(eds) Advances in Design and Digital Communication II. DIGICOM 2021. Springer Series in Design and Innovation , vol 19. Springer, Cham.</w:t>
      </w:r>
    </w:p>
    <w:p w14:paraId="6E9BD4AB" w14:textId="7AC6E093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[12]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Cao, H., Guo, J. (2020). Research on the User Experience of Educational App in the Context of “Intangible Cultural Heritage”.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Ahram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T.,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Falcão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C. (eds) Advances in Usability, User Experience, Wearable and Assistive Technology. AHFE 2020. Advances in Intelligent Systems and Computing, vol 1217. Springer, Cham. </w:t>
      </w:r>
    </w:p>
    <w:p w14:paraId="6B3AA12D" w14:textId="676BE10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[13]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Chang, WL., Lu, WH. (2021). Building Common Ground: Applying Mutual Learning in the UI/UX Education.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Kurosu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M. (eds) Human-Computer Interaction. Theory, </w:t>
      </w:r>
      <w:proofErr w:type="gram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Methods</w:t>
      </w:r>
      <w:proofErr w:type="gram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and Tools. HCII 2021. Lecture Notes in Computer Science(), vol 12762. Springer, Cham.</w:t>
      </w:r>
    </w:p>
    <w:p w14:paraId="43461B55" w14:textId="3FF073CA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  <w:rtl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[14]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Nielsen, J.: A 100-year view of user experience (by Jakob Nielsen). Accessed 11 Feb 2021</w:t>
      </w:r>
    </w:p>
    <w:p w14:paraId="7FCCED6B" w14:textId="77777777" w:rsidR="003E64F3" w:rsidRPr="003E64F3" w:rsidRDefault="003E64F3" w:rsidP="003E64F3">
      <w:pPr>
        <w:rPr>
          <w:rFonts w:cstheme="minorHAnsi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>[15]</w:t>
      </w:r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Ketut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Sintia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Kesuma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Padmadewi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N. N., &amp;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K. S. (2022). An Analysis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Analysis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of Reward System Used in Blended Learning Strategy to Develop Students’ Learning Motivation at North Bali Bilingual School.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Innovative Education Journal</w:t>
      </w:r>
      <w:r w:rsidRPr="003E64F3">
        <w:rPr>
          <w:rFonts w:cstheme="minorHAnsi"/>
          <w:sz w:val="24"/>
          <w:szCs w:val="24"/>
          <w:shd w:val="clear" w:color="auto" w:fill="FFFFFF"/>
        </w:rPr>
        <w:t>,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1</w:t>
      </w:r>
      <w:r w:rsidRPr="003E64F3">
        <w:rPr>
          <w:rFonts w:cstheme="minorHAnsi"/>
          <w:sz w:val="24"/>
          <w:szCs w:val="24"/>
          <w:shd w:val="clear" w:color="auto" w:fill="FFFFFF"/>
        </w:rPr>
        <w:t>(1), 58–63.</w:t>
      </w:r>
    </w:p>
    <w:p w14:paraId="73BD26B7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  <w:shd w:val="clear" w:color="auto" w:fill="FFFFFF"/>
        </w:rPr>
        <w:t xml:space="preserve">[16] Journal of Educational Research and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EvaluationVolume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4, Number 3,Tahun 2020, pp. 307-314P-ISSN: 2597-422x E-ISSN: 2549-2675</w:t>
      </w:r>
    </w:p>
    <w:p w14:paraId="3A833CA2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[17] 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Haryanto,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Hanny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Ardiawan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Bagus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Harisa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and Indra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Gamayanto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. "Appreciative Learning for Immersive Reward System in Education Game Development." </w:t>
      </w:r>
      <w:r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Games, Game Art, and Gamification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 6.2 (2021): 32-38.</w:t>
      </w:r>
      <w:r w:rsidRPr="003E64F3">
        <w:rPr>
          <w:rFonts w:cstheme="minorHAnsi"/>
          <w:sz w:val="24"/>
          <w:szCs w:val="24"/>
        </w:rPr>
        <w:t xml:space="preserve"> </w:t>
      </w:r>
    </w:p>
    <w:p w14:paraId="57B9D9F5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[18] 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Morsidi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S. Tajuddin, R. K.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Patchmuthu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S. H. S.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Newaz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"Blockchain-based Reward System: </w:t>
      </w:r>
      <w:proofErr w:type="gram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proofErr w:type="gram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Means for Providing Incentive to Students for Teaching Feedback," </w:t>
      </w:r>
      <w:r w:rsidRPr="003E64F3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2021 International Conference on Electronics, Communications and Information Technology (ICECIT)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2021, pp. 1-5,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doi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FEB744F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[19]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Zou, F., Cao, Y. (2020). Integrating Educational Content into Game: An Encapsulation Method. In: Shen, J., Chang, YC.,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YS., Ogata, H. (eds) Cognitive Cities. IC3 2019. Communications in Computer and Information Science, vol 1227. Springer, Singapore.</w:t>
      </w:r>
    </w:p>
    <w:p w14:paraId="56D9A82E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[20]</w:t>
      </w:r>
      <w:r w:rsidRPr="003E64F3">
        <w:rPr>
          <w:rFonts w:cstheme="minorHAnsi"/>
          <w:sz w:val="24"/>
          <w:szCs w:val="24"/>
        </w:rPr>
        <w:t xml:space="preserve"> Tan Kim Hua A Comparison of Online Learning Challenges Between Young Learners and Adult Learners in ESL Classes During the COVID-19 Pandemic, Vol. 12, No. 1, pp. 28-35, January 2022.</w:t>
      </w:r>
    </w:p>
    <w:p w14:paraId="44E3489F" w14:textId="62DC2D22" w:rsidR="003E64F3" w:rsidRPr="003E64F3" w:rsidRDefault="003E64F3" w:rsidP="003E64F3">
      <w:pPr>
        <w:rPr>
          <w:rFonts w:cstheme="minorHAnsi"/>
          <w:sz w:val="24"/>
          <w:szCs w:val="24"/>
          <w:rtl/>
        </w:rPr>
      </w:pPr>
      <w:r w:rsidRPr="003E64F3">
        <w:rPr>
          <w:rFonts w:cstheme="minorHAnsi"/>
          <w:sz w:val="24"/>
          <w:szCs w:val="24"/>
        </w:rPr>
        <w:t xml:space="preserve">[21] The Author(s) 2021 17 J. </w:t>
      </w:r>
      <w:proofErr w:type="spellStart"/>
      <w:r w:rsidRPr="003E64F3">
        <w:rPr>
          <w:rFonts w:cstheme="minorHAnsi"/>
          <w:sz w:val="24"/>
          <w:szCs w:val="24"/>
        </w:rPr>
        <w:t>Ryoo</w:t>
      </w:r>
      <w:proofErr w:type="spellEnd"/>
      <w:r w:rsidRPr="003E64F3">
        <w:rPr>
          <w:rFonts w:cstheme="minorHAnsi"/>
          <w:sz w:val="24"/>
          <w:szCs w:val="24"/>
        </w:rPr>
        <w:t xml:space="preserve">, K. Winkelmann (eds.), Innovative Learning Environments in STEM Higher Education, </w:t>
      </w:r>
      <w:proofErr w:type="spellStart"/>
      <w:r w:rsidRPr="003E64F3">
        <w:rPr>
          <w:rFonts w:cstheme="minorHAnsi"/>
          <w:sz w:val="24"/>
          <w:szCs w:val="24"/>
        </w:rPr>
        <w:t>SpringerBriefs</w:t>
      </w:r>
      <w:proofErr w:type="spellEnd"/>
      <w:r w:rsidRPr="003E64F3">
        <w:rPr>
          <w:rFonts w:cstheme="minorHAnsi"/>
          <w:sz w:val="24"/>
          <w:szCs w:val="24"/>
        </w:rPr>
        <w:t xml:space="preserve"> in Statistics.</w:t>
      </w:r>
    </w:p>
    <w:p w14:paraId="2E8EA615" w14:textId="4595F62C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[22]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Bulut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Samur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Y. &amp;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Cömert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Z. The effect of educational game design process on students’ creativity. </w:t>
      </w:r>
      <w:r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Smart Learn. Environ.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9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8 (2022). </w:t>
      </w:r>
    </w:p>
    <w:p w14:paraId="57ECB2A7" w14:textId="77777777" w:rsidR="003E64F3" w:rsidRDefault="003E64F3" w:rsidP="00F4313E"/>
    <w:p w14:paraId="4255377A" w14:textId="77777777" w:rsidR="00FB2B76" w:rsidRPr="00F4313E" w:rsidRDefault="00FB2B76" w:rsidP="00F4313E"/>
    <w:sectPr w:rsidR="00FB2B76" w:rsidRPr="00F4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051C1D"/>
    <w:rsid w:val="003D1DD4"/>
    <w:rsid w:val="003E64F3"/>
    <w:rsid w:val="00BA398A"/>
    <w:rsid w:val="00EC3F0A"/>
    <w:rsid w:val="00F4313E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667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  <w:style w:type="character" w:styleId="Emphasis">
    <w:name w:val="Emphasis"/>
    <w:basedOn w:val="DefaultParagraphFont"/>
    <w:uiPriority w:val="20"/>
    <w:qFormat/>
    <w:rsid w:val="003E6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4</cp:revision>
  <dcterms:created xsi:type="dcterms:W3CDTF">2022-09-21T13:49:00Z</dcterms:created>
  <dcterms:modified xsi:type="dcterms:W3CDTF">2022-09-28T10:32:00Z</dcterms:modified>
</cp:coreProperties>
</file>