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201918010403-Kaylin-week4-report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2022//11/4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Background investigation on the high school course selection system in Sichuan Province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The login interface of student, teacher and administrator is realized.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5248275" cy="3000375"/>
                  <wp:effectExtent l="0" t="0" r="9525" b="9525"/>
                  <wp:docPr id="1" name="Drawing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The captcha is not displayed.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Resolve the problem that the captcha is not displayed.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Database design of login function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59ADCABA"/>
    <w:multiLevelType w:val="singleLevel"/>
    <w:tmpl w:val="59ADCABA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25C07263"/>
    <w:rsid w:val="77795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101</Words>
  <Characters>612</Characters>
  <TotalTime>1</TotalTime>
  <ScaleCrop>false</ScaleCrop>
  <LinksUpToDate>false</LinksUpToDate>
  <CharactersWithSpaces>692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2023-01-13T05:20:00Z</dcterms:created>
  <dc:creator>Apache POI</dc:creator>
  <cp:lastModifiedBy>zzz</cp:lastModifiedBy>
  <dcterms:modified xsi:type="dcterms:W3CDTF">2023-01-13T05:33:51Z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A62197846E0B4AFEABFB5DD8B2DF00DC</vt:lpwstr>
  </property>
</Properties>
</file>