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方案验证与评价指标体系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本文档定义本方案（AI 驱动的道路养护决策与沥青材料智能推荐系统）的</w:t>
      </w:r>
      <w:r>
        <w:rPr>
          <w:rFonts w:ascii="宋体" w:hAnsi="宋体" w:eastAsia="宋体"/>
          <w:b/>
          <w:sz w:val="24"/>
        </w:rPr>
        <w:t>验证方法与评价指标</w:t>
      </w:r>
      <w:r>
        <w:rPr>
          <w:rFonts w:ascii="宋体" w:hAnsi="宋体" w:eastAsia="宋体"/>
          <w:b w:val="0"/>
          <w:sz w:val="24"/>
        </w:rPr>
        <w:t>，遵循三条原则：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可复现</w:t>
      </w:r>
      <w:r>
        <w:rPr>
          <w:rFonts w:ascii="宋体" w:hAnsi="宋体" w:eastAsia="宋体"/>
          <w:b w:val="0"/>
          <w:sz w:val="24"/>
        </w:rPr>
        <w:t>：每项指标都给出具体命令与数据来源，任何人在同一数据集上可复现同样结论；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可量化</w:t>
      </w:r>
      <w:r>
        <w:rPr>
          <w:rFonts w:ascii="宋体" w:hAnsi="宋体" w:eastAsia="宋体"/>
          <w:b w:val="0"/>
          <w:sz w:val="24"/>
        </w:rPr>
        <w:t>：每项指标都定义为可计算的数值，并给出阈值（达标线）与当前实测值；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诚实口径</w:t>
      </w:r>
      <w:r>
        <w:rPr>
          <w:rFonts w:ascii="宋体" w:hAnsi="宋体" w:eastAsia="宋体"/>
          <w:b w:val="0"/>
          <w:sz w:val="24"/>
        </w:rPr>
        <w:t>：区分"确定性计算"与"大模型生成"，凡是大模型参与的结果不冒充确定值；被实验证伪的优化项明确记录否决结论，不写成成绩。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一、指标总览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类别 | 指标 | 定义 | 阈值 | 当前实测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|---|---|---|---|---|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检索质量 | 金标准召回 | recall@5：期望文档出现在前 5 个文档中的比例（按源文档去重） | 达标线：每用例达到其 minRecallAt5，总体 100% | </w:t>
      </w:r>
      <w:r>
        <w:rPr>
          <w:rFonts w:ascii="宋体" w:hAnsi="宋体" w:eastAsia="宋体"/>
          <w:b/>
          <w:sz w:val="24"/>
        </w:rPr>
        <w:t>38/38（100%）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检索质量 | 证据多样性（去重率） | 5 候选 × 3 条证据共 15 个槽位中，去重后不同知识块数 | ≥12/15 | </w:t>
      </w:r>
      <w:r>
        <w:rPr>
          <w:rFonts w:ascii="宋体" w:hAnsi="宋体" w:eastAsia="宋体"/>
          <w:b/>
          <w:sz w:val="24"/>
        </w:rPr>
        <w:t>13–15/15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检索质量 | 证据集合互异率 | 任意两个候选的证据集合不相同的比例 | 100% | </w:t>
      </w:r>
      <w:r>
        <w:rPr>
          <w:rFonts w:ascii="宋体" w:hAnsi="宋体" w:eastAsia="宋体"/>
          <w:b/>
          <w:sz w:val="24"/>
        </w:rPr>
        <w:t>100%（5/5 案例）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检索质量 | 证据类型覆盖 | 含文献/规范/章节/表格类证据的候选占比 | ≥60% | </w:t>
      </w:r>
      <w:r>
        <w:rPr>
          <w:rFonts w:ascii="宋体" w:hAnsi="宋体" w:eastAsia="宋体"/>
          <w:b/>
          <w:sz w:val="24"/>
        </w:rPr>
        <w:t>25/25（100%）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生成质量 | 引用支撑率 | 报告段落主张能被「证据 + 确定性数据」支撑的段落比例（大模型裁判） | ≥85% | </w:t>
      </w:r>
      <w:r>
        <w:rPr>
          <w:rFonts w:ascii="宋体" w:hAnsi="宋体" w:eastAsia="宋体"/>
          <w:b/>
          <w:sz w:val="24"/>
        </w:rPr>
        <w:t>85.1%–100%（多轮，最近一轮 100%）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生成质量 | 裁判可信度 | 人为构造幻觉段落必须被判为"不支撑" | 100% | </w:t>
      </w:r>
      <w:r>
        <w:rPr>
          <w:rFonts w:ascii="宋体" w:hAnsi="宋体" w:eastAsia="宋体"/>
          <w:b/>
          <w:sz w:val="24"/>
        </w:rPr>
        <w:t>通过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生成质量 | 结构合规率 | 段落长度、节数、要点行等格式约束满足率 | 100% | </w:t>
      </w:r>
      <w:r>
        <w:rPr>
          <w:rFonts w:ascii="宋体" w:hAnsi="宋体" w:eastAsia="宋体"/>
          <w:b/>
          <w:sz w:val="24"/>
        </w:rPr>
        <w:t>100%（提示词约束 + 模板兜底）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决策质量 | 得分分解恒等 | Σ各维贡献 − 罚项 与综合得分的差值 | &lt;1e-6 | </w:t>
      </w:r>
      <w:r>
        <w:rPr>
          <w:rFonts w:ascii="宋体" w:hAnsi="宋体" w:eastAsia="宋体"/>
          <w:b/>
          <w:sz w:val="24"/>
        </w:rPr>
        <w:t>逐位相等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决策质量 | 验收阈值达标率 | 企业实测指标（11 项）中达到规范阈值的比例 | 监控项（不设硬阈值） | 首卡 9/9 有阈值指标达标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一致性 | 确定性复现 | 同一结构化场景多次请求，数值字段逐字节一致 | 100% | </w:t>
      </w:r>
      <w:r>
        <w:rPr>
          <w:rFonts w:ascii="宋体" w:hAnsi="宋体" w:eastAsia="宋体"/>
          <w:b/>
          <w:sz w:val="24"/>
        </w:rPr>
        <w:t>5 案例 × 3 次一致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鲁棒性 | 降级路径覆盖 | 大模型关闭 / 上游模块不可达 / 空知识库 三种降级场景均不中断 | 3/3 通过 | </w:t>
      </w:r>
      <w:r>
        <w:rPr>
          <w:rFonts w:ascii="宋体" w:hAnsi="宋体" w:eastAsia="宋体"/>
          <w:b/>
          <w:sz w:val="24"/>
        </w:rPr>
        <w:t>3/3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鲁棒性 | 回退机制覆盖 | 重排超时、流式失败、空库均有自动回退 | 全部具备 | </w:t>
      </w:r>
      <w:r>
        <w:rPr>
          <w:rFonts w:ascii="宋体" w:hAnsi="宋体" w:eastAsia="宋体"/>
          <w:b/>
          <w:sz w:val="24"/>
        </w:rPr>
        <w:t>具备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性能 | 端到端时延 | 推荐请求总耗时（含重排与报告） | ≤20s（演示约束） | </w:t>
      </w:r>
      <w:r>
        <w:rPr>
          <w:rFonts w:ascii="宋体" w:hAnsi="宋体" w:eastAsia="宋体"/>
          <w:b/>
          <w:sz w:val="24"/>
        </w:rPr>
        <w:t>约 11–18s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性能 | 重排时延 | 5 查询 × 6 候选批量重排耗时 | 2–5s | </w:t>
      </w:r>
      <w:r>
        <w:rPr>
          <w:rFonts w:ascii="宋体" w:hAnsi="宋体" w:eastAsia="宋体"/>
          <w:b/>
          <w:sz w:val="24"/>
        </w:rPr>
        <w:t>2.2–3.1s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性能 | 索引构建 | 全量重建 11,143 块索引耗时 | 记录基线 | </w:t>
      </w:r>
      <w:r>
        <w:rPr>
          <w:rFonts w:ascii="宋体" w:hAnsi="宋体" w:eastAsia="宋体"/>
          <w:b/>
          <w:sz w:val="24"/>
        </w:rPr>
        <w:t>lancedb 729s / sqlite 605s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性能 | 单查询嵌入 | 查询向量化耗时 | ≤25ms | </w:t>
      </w:r>
      <w:r>
        <w:rPr>
          <w:rFonts w:ascii="宋体" w:hAnsi="宋体" w:eastAsia="宋体"/>
          <w:b/>
          <w:sz w:val="24"/>
        </w:rPr>
        <w:t>17ms（384 维）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工程质量 | 测试规模 | 六个包的单元/集成用例总数 | ≥300 | </w:t>
      </w:r>
      <w:r>
        <w:rPr>
          <w:rFonts w:ascii="宋体" w:hAnsi="宋体" w:eastAsia="宋体"/>
          <w:b/>
          <w:sz w:val="24"/>
        </w:rPr>
        <w:t>327 条</w:t>
      </w:r>
      <w:r>
        <w:rPr>
          <w:rFonts w:ascii="宋体" w:hAnsi="宋体" w:eastAsia="宋体"/>
          <w:b w:val="0"/>
          <w:sz w:val="24"/>
        </w:rPr>
        <w:t>（contracts 10 / embedding 14 / retrieval 17 / server 74 / web 171 / scripts 41）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工程质量 | 端到端回归 | 5 案例主流程 + 降级路径 | 全绿 | </w:t>
      </w:r>
      <w:r>
        <w:rPr>
          <w:rFonts w:ascii="宋体" w:hAnsi="宋体" w:eastAsia="宋体"/>
          <w:b/>
          <w:sz w:val="24"/>
        </w:rPr>
        <w:t>5/5 + 3/3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工程质量 | 评审门禁 | 独立评审发现的问题闭环率 | 100% | 严重 2 条、重要 9 条全部关闭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数据质量 | 语料规模 | 索引知识块数与类型分布 | 记录基线 | </w:t>
      </w:r>
      <w:r>
        <w:rPr>
          <w:rFonts w:ascii="宋体" w:hAnsi="宋体" w:eastAsia="宋体"/>
          <w:b/>
          <w:sz w:val="24"/>
        </w:rPr>
        <w:t>11,143 块</w:t>
      </w:r>
      <w:r>
        <w:rPr>
          <w:rFonts w:ascii="宋体" w:hAnsi="宋体" w:eastAsia="宋体"/>
          <w:b w:val="0"/>
          <w:sz w:val="24"/>
        </w:rPr>
        <w:t>（知识 94 / 规范 57 / 题录 142 / 章节 9,753 / 表格 1,041 / 企业 56）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数据质量 | 溯源完整率 | 每个知识块携带七项溯源字段的比例 | 100% | </w:t>
      </w:r>
      <w:r>
        <w:rPr>
          <w:rFonts w:ascii="宋体" w:hAnsi="宋体" w:eastAsia="宋体"/>
          <w:b/>
          <w:sz w:val="24"/>
        </w:rPr>
        <w:t>100%</w:t>
      </w:r>
      <w:r>
        <w:rPr>
          <w:rFonts w:ascii="宋体" w:hAnsi="宋体" w:eastAsia="宋体"/>
          <w:b w:val="0"/>
          <w:sz w:val="24"/>
        </w:rPr>
        <w:t xml:space="preserve">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二、检索质量指标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2.1 金标准召回（recall@5）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定义</w:t>
      </w:r>
      <w:r>
        <w:rPr>
          <w:rFonts w:ascii="宋体" w:hAnsi="宋体" w:eastAsia="宋体"/>
          <w:b w:val="0"/>
          <w:sz w:val="24"/>
        </w:rPr>
        <w:t>：对每条用例，取混合检索（BM25 + query 向量）的前 topK×3 个块，按源文档去重后取前 5 个文档；`recall@5 = 命中期望文档数 / 期望文档总数`。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为什么是文档级</w:t>
      </w:r>
      <w:r>
        <w:rPr>
          <w:rFonts w:ascii="宋体" w:hAnsi="宋体" w:eastAsia="宋体"/>
          <w:b w:val="0"/>
          <w:sz w:val="24"/>
        </w:rPr>
        <w:t>：知识条目已按维度拆分为多个块（同一材料多个维度块），块级 top-k 会让同一文档的多个块挤占名额，造成假性失分；期望本身是文档级，故按文档去重。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用例集</w:t>
      </w:r>
      <w:r>
        <w:rPr>
          <w:rFonts w:ascii="宋体" w:hAnsi="宋体" w:eastAsia="宋体"/>
          <w:b w:val="0"/>
          <w:sz w:val="24"/>
        </w:rPr>
        <w:t>：38 条，覆盖 8 个决策维度 × 4 类语料（材料知识 / 规范 / 文献 / 其他），每条附带 `minRecallAt5` 门槛。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复现</w:t>
      </w:r>
      <w:r>
        <w:rPr>
          <w:rFonts w:ascii="宋体" w:hAnsi="宋体" w:eastAsia="宋体"/>
          <w:b w:val="0"/>
          <w:sz w:val="24"/>
        </w:rPr>
        <w:t>：`pnpm exec tsx scripts/golden-eval.ts lancedb`（`--bm25` 可切纯关键词离线模式）。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当前值</w:t>
      </w:r>
      <w:r>
        <w:rPr>
          <w:rFonts w:ascii="宋体" w:hAnsi="宋体" w:eastAsia="宋体"/>
          <w:b w:val="0"/>
          <w:sz w:val="24"/>
        </w:rPr>
        <w:t>：38/38 全部达标；纯关键词模式下为 35/38（跨语言文献类因中文查询与英文标题无字面交集而失分，属已知局限）。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2.2 证据多样性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去重率</w:t>
      </w:r>
      <w:r>
        <w:rPr>
          <w:rFonts w:ascii="宋体" w:hAnsi="宋体" w:eastAsia="宋体"/>
          <w:b w:val="0"/>
          <w:sz w:val="24"/>
        </w:rPr>
        <w:t>：每候选 3 条证据、5 候选共 15 槽；计算去重后的不同块数。阈值 ≥12/15。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集合互异率</w:t>
      </w:r>
      <w:r>
        <w:rPr>
          <w:rFonts w:ascii="宋体" w:hAnsi="宋体" w:eastAsia="宋体"/>
          <w:b w:val="0"/>
          <w:sz w:val="24"/>
        </w:rPr>
        <w:t>：任意两候选的证据集合必须不同（防止两个方案共用同一套证据）。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类型覆盖</w:t>
      </w:r>
      <w:r>
        <w:rPr>
          <w:rFonts w:ascii="宋体" w:hAnsi="宋体" w:eastAsia="宋体"/>
          <w:b w:val="0"/>
          <w:sz w:val="24"/>
        </w:rPr>
        <w:t>：证据须覆盖知识、规范、文献、文献章节、定量表格、企业资料中的多类；统计含文献/规范/章节/表格的候选比例，阈值 ≥60%。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复用上限</w:t>
      </w:r>
      <w:r>
        <w:rPr>
          <w:rFonts w:ascii="宋体" w:hAnsi="宋体" w:eastAsia="宋体"/>
          <w:b w:val="0"/>
          <w:sz w:val="24"/>
        </w:rPr>
        <w:t>：同一知识块在所有候选中出现次数 ≤3；同一文档在每个候选内最多 1 条。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当前值</w:t>
      </w:r>
      <w:r>
        <w:rPr>
          <w:rFonts w:ascii="宋体" w:hAnsi="宋体" w:eastAsia="宋体"/>
          <w:b w:val="0"/>
          <w:sz w:val="24"/>
        </w:rPr>
        <w:t>：去重 13–15/15；集合互异 5/5 案例；类型覆盖 25/25 候选；复用上限全部满足。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2.3 消融实验（三项均以数据否决）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消融项 | 对照设置 | 结果 | 结论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|---|---|---|---|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嵌入模型升级 | 768 维多语种模型 vs 现 384 维 | 金标准 37/38 vs </w:t>
      </w:r>
      <w:r>
        <w:rPr>
          <w:rFonts w:ascii="宋体" w:hAnsi="宋体" w:eastAsia="宋体"/>
          <w:b/>
          <w:sz w:val="24"/>
        </w:rPr>
        <w:t>38/38</w:t>
      </w:r>
      <w:r>
        <w:rPr>
          <w:rFonts w:ascii="宋体" w:hAnsi="宋体" w:eastAsia="宋体"/>
          <w:b w:val="0"/>
          <w:sz w:val="24"/>
        </w:rPr>
        <w:t>；单查询 22.9ms vs 17.0ms；重建 1602s vs 729s；证据更聚集（唯一文档 9/8/9/10/12 vs 11/12/11/11/12） | 维持 384 维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查询扩展 | bigram 扩展 / 同义词扩展 vs 基线 | bigram 35/38（持平，一升一降）；同义词 19/38（显著退化，OR 语义稀释判别词） | 不接入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多样性重排（MMR） | 开启（λ=0.7）vs 关闭 | 去重 8–12/15、文献参与 17/25 vs </w:t>
      </w:r>
      <w:r>
        <w:rPr>
          <w:rFonts w:ascii="宋体" w:hAnsi="宋体" w:eastAsia="宋体"/>
          <w:b/>
          <w:sz w:val="24"/>
        </w:rPr>
        <w:t>13–14/15、22/25</w:t>
      </w:r>
      <w:r>
        <w:rPr>
          <w:rFonts w:ascii="宋体" w:hAnsi="宋体" w:eastAsia="宋体"/>
          <w:b w:val="0"/>
          <w:sz w:val="24"/>
        </w:rPr>
        <w:t xml:space="preserve"> | 默认关闭，保留开关与调参项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&gt; 说明：消融实验采用与生产一致的检索模式，结论均由脚本输出，可复跑复核。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三、生成质量指标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3.1 引用支撑率（faithfulness）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定义</w:t>
      </w:r>
      <w:r>
        <w:rPr>
          <w:rFonts w:ascii="宋体" w:hAnsi="宋体" w:eastAsia="宋体"/>
          <w:b w:val="0"/>
          <w:sz w:val="24"/>
        </w:rPr>
        <w:t>：对报告每个段落，由裁判模型判断"核心主张是否能在所给证据与确定性数据中找到依据或合理推论"，`支撑率 = 被支撑段落数 / 总段落数`。数值型结论以确定性数据为准，机理/规范结论以证据为准。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输入上下文</w:t>
      </w:r>
      <w:r>
        <w:rPr>
          <w:rFonts w:ascii="宋体" w:hAnsi="宋体" w:eastAsia="宋体"/>
          <w:b w:val="0"/>
          <w:sz w:val="24"/>
        </w:rPr>
        <w:t>：该段落所引证据全文（截断）+ 全部候选的确定性指标 + 基准对比行（避免"报告引用了未提供的候选数据"被误判为幻觉）。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阈值</w:t>
      </w:r>
      <w:r>
        <w:rPr>
          <w:rFonts w:ascii="宋体" w:hAnsi="宋体" w:eastAsia="宋体"/>
          <w:b w:val="0"/>
          <w:sz w:val="24"/>
        </w:rPr>
        <w:t>：≥85%（人工抽查校准）。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当前值</w:t>
      </w:r>
      <w:r>
        <w:rPr>
          <w:rFonts w:ascii="宋体" w:hAnsi="宋体" w:eastAsia="宋体"/>
          <w:b w:val="0"/>
          <w:sz w:val="24"/>
        </w:rPr>
        <w:t>：多轮测量 85.1%–100%（裁判为概率模型，存在波动）；最近一轮 49/49 段全部支撑。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复现</w:t>
      </w:r>
      <w:r>
        <w:rPr>
          <w:rFonts w:ascii="宋体" w:hAnsi="宋体" w:eastAsia="宋体"/>
          <w:b w:val="0"/>
          <w:sz w:val="24"/>
        </w:rPr>
        <w:t>：`pnpm exec tsx scripts/faithfulness-eval.ts`（需 `.env` 中配置大模型密钥）。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3.2 裁判可信度校准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方法</w:t>
      </w:r>
      <w:r>
        <w:rPr>
          <w:rFonts w:ascii="宋体" w:hAnsi="宋体" w:eastAsia="宋体"/>
          <w:b w:val="0"/>
          <w:sz w:val="24"/>
        </w:rPr>
        <w:t>：构造一段包含伪造数值与伪造结论的段落，要求裁判判为"不支撑"。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结果</w:t>
      </w:r>
      <w:r>
        <w:rPr>
          <w:rFonts w:ascii="宋体" w:hAnsi="宋体" w:eastAsia="宋体"/>
          <w:b w:val="0"/>
          <w:sz w:val="24"/>
        </w:rPr>
        <w:t>：通过（`pnpm exec tsx scripts/faithfulness-eval.ts --calibrate`）。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意义</w:t>
      </w:r>
      <w:r>
        <w:rPr>
          <w:rFonts w:ascii="宋体" w:hAnsi="宋体" w:eastAsia="宋体"/>
          <w:b w:val="0"/>
          <w:sz w:val="24"/>
        </w:rPr>
        <w:t>：证明高支撑率不是"裁判放水"，而是报告确实有据可依。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3.3 结构合规率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约束</w:t>
      </w:r>
      <w:r>
        <w:rPr>
          <w:rFonts w:ascii="宋体" w:hAnsi="宋体" w:eastAsia="宋体"/>
          <w:b w:val="0"/>
          <w:sz w:val="24"/>
        </w:rPr>
        <w:t>：每段 ≤90 字（1–2 句）；对比节允许「· 」要点行（≤60 字、2–5 条）；首选节首段为一句话结论（≤60 字）；禁止单段罗列全部候选。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实现</w:t>
      </w:r>
      <w:r>
        <w:rPr>
          <w:rFonts w:ascii="宋体" w:hAnsi="宋体" w:eastAsia="宋体"/>
          <w:b w:val="0"/>
          <w:sz w:val="24"/>
        </w:rPr>
        <w:t>：提示词约束 + 确定性降级模板同形态兜底。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测量</w:t>
      </w:r>
      <w:r>
        <w:rPr>
          <w:rFonts w:ascii="宋体" w:hAnsi="宋体" w:eastAsia="宋体"/>
          <w:b w:val="0"/>
          <w:sz w:val="24"/>
        </w:rPr>
        <w:t>：单元测试断言模板段落长度/节结构；真实输出抽样复核。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当前值</w:t>
      </w:r>
      <w:r>
        <w:rPr>
          <w:rFonts w:ascii="宋体" w:hAnsi="宋体" w:eastAsia="宋体"/>
          <w:b w:val="0"/>
          <w:sz w:val="24"/>
        </w:rPr>
        <w:t>：100%（提示词生效，模板兜底同构）。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四、决策质量与一致性指标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4.1 得分分解恒等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定义</w:t>
      </w:r>
      <w:r>
        <w:rPr>
          <w:rFonts w:ascii="宋体" w:hAnsi="宋体" w:eastAsia="宋体"/>
          <w:b w:val="0"/>
          <w:sz w:val="24"/>
        </w:rPr>
        <w:t>：综合得分 = Σ(维度权重 × 维度归一化值) − 罚项（预算/工期/环保）。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测量</w:t>
      </w:r>
      <w:r>
        <w:rPr>
          <w:rFonts w:ascii="宋体" w:hAnsi="宋体" w:eastAsia="宋体"/>
          <w:b w:val="0"/>
          <w:sz w:val="24"/>
        </w:rPr>
        <w:t>：比较 `scoreBreakdown` 各维 `contribution` 之和减 `penalty` 与 `score` 的差值。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阈值</w:t>
      </w:r>
      <w:r>
        <w:rPr>
          <w:rFonts w:ascii="宋体" w:hAnsi="宋体" w:eastAsia="宋体"/>
          <w:b w:val="0"/>
          <w:sz w:val="24"/>
        </w:rPr>
        <w:t>：&lt;1e-6。</w:t>
      </w:r>
      <w:r>
        <w:rPr>
          <w:rFonts w:ascii="宋体" w:hAnsi="宋体" w:eastAsia="宋体"/>
          <w:b/>
          <w:sz w:val="24"/>
        </w:rPr>
        <w:t>当前值</w:t>
      </w:r>
      <w:r>
        <w:rPr>
          <w:rFonts w:ascii="宋体" w:hAnsi="宋体" w:eastAsia="宋体"/>
          <w:b w:val="0"/>
          <w:sz w:val="24"/>
        </w:rPr>
        <w:t>：逐位相等（单元测试恒过）。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意义</w:t>
      </w:r>
      <w:r>
        <w:rPr>
          <w:rFonts w:ascii="宋体" w:hAnsi="宋体" w:eastAsia="宋体"/>
          <w:b w:val="0"/>
          <w:sz w:val="24"/>
        </w:rPr>
        <w:t>：瀑布图/归因展示与排序计算同源，不存在"展示用一套、排序用另一套"。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4.2 确定性复现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方法</w:t>
      </w:r>
      <w:r>
        <w:rPr>
          <w:rFonts w:ascii="宋体" w:hAnsi="宋体" w:eastAsia="宋体"/>
          <w:b w:val="0"/>
          <w:sz w:val="24"/>
        </w:rPr>
        <w:t>：对 5 个典型案例各请求 3 次，对比候选、雷达、8 维指标、11 项实测指标、基准行等数值字段。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剔除范围</w:t>
      </w:r>
      <w:r>
        <w:rPr>
          <w:rFonts w:ascii="宋体" w:hAnsi="宋体" w:eastAsia="宋体"/>
          <w:b w:val="0"/>
          <w:sz w:val="24"/>
        </w:rPr>
        <w:t>：仅剔除大模型影响面（报告文案、步骤耗时、证据顺序、重排耗时、可用性状态）——这些按定义每次都可能不同，不属于数值红线。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当前值</w:t>
      </w:r>
      <w:r>
        <w:rPr>
          <w:rFonts w:ascii="宋体" w:hAnsi="宋体" w:eastAsia="宋体"/>
          <w:b w:val="0"/>
          <w:sz w:val="24"/>
        </w:rPr>
        <w:t>：5 案例 × 3 次全部一致。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复现</w:t>
      </w:r>
      <w:r>
        <w:rPr>
          <w:rFonts w:ascii="宋体" w:hAnsi="宋体" w:eastAsia="宋体"/>
          <w:b w:val="0"/>
          <w:sz w:val="24"/>
        </w:rPr>
        <w:t>：`E2E_BASE_URL=http://127.0.0.1:3010 pnpm exec tsx scripts/e2e-cases.ts`。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4.3 验收阈值达标率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定义</w:t>
      </w:r>
      <w:r>
        <w:rPr>
          <w:rFonts w:ascii="宋体" w:hAnsi="宋体" w:eastAsia="宋体"/>
          <w:b w:val="0"/>
          <w:sz w:val="24"/>
        </w:rPr>
        <w:t>：对 11 项企业实测指标（空隙率、VMA、VFA、稳定度、流值、TSR、残留稳定度、动稳定度、弯拉应变、抗拉强度、劲度模量），按阈值（VV 3–6%、FL 2–4mm、MS&gt;8kN、TSR&gt;75%、残留稳定度&gt;85%、DS&gt;800 次/mm、弯拉应变&gt;2000με、VMA≥14%、VFA 65–75%）判定达标。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展示</w:t>
      </w:r>
      <w:r>
        <w:rPr>
          <w:rFonts w:ascii="宋体" w:hAnsi="宋体" w:eastAsia="宋体"/>
          <w:b w:val="0"/>
          <w:sz w:val="24"/>
        </w:rPr>
        <w:t>：候选卡片「企业实测指标」表逐项标注绿✓/红✗；基准表带验收阈值列。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测量</w:t>
      </w:r>
      <w:r>
        <w:rPr>
          <w:rFonts w:ascii="宋体" w:hAnsi="宋体" w:eastAsia="宋体"/>
          <w:b w:val="0"/>
          <w:sz w:val="24"/>
        </w:rPr>
        <w:t>：单测断言阈值与判定逻辑；真实响应抽样核对（首卡 9 项有阈值指标全部达标，2 项无硬性阈值显示"未设阈值"）。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五、鲁棒性与降级指标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场景 | 触发方式 | 预期行为 | 实测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|---|---|---|---|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大模型不可用 | `LLM_OFF=1` | 报告切换确定性模板文案，`llmStatus=degraded`，其余结果不变 | 通过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上游模块不可达 | 模块地址指向不可达 | 适配器回退 mock，`adapterMode` 打标"模拟数据" | 通过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空知识库 | 索引为空 | 返回明确告警与操作指引，流程不崩溃 | 通过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重排超时 | 大模型重排超时（8s） | 回退 RRF 原序，证据仍可用 | 通过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流式失败 | 断流/异常事件 | 前端自动回退整包接口重试一次 | 通过（前端测试覆盖）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/>
          <w:sz w:val="24"/>
        </w:rPr>
        <w:t>复现</w:t>
      </w:r>
      <w:r>
        <w:rPr>
          <w:rFonts w:ascii="宋体" w:hAnsi="宋体" w:eastAsia="宋体"/>
          <w:b w:val="0"/>
          <w:sz w:val="24"/>
        </w:rPr>
        <w:t>：`pnpm exec tsx scripts/e2e-degradation.ts`（自动起降级环境并断言 3 类场景）。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六、性能指标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指标 | 定义 | 当前值 | 备注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|---|---|---|---|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端到端时延 | 推荐请求从发出到返回完整报告 | 约 11–18s | 报告占 5–11s（大模型），重排 2.2–3.1s，检索+计算 &lt;1s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重排时延 | 一次批量 LLM 重排（5 查询 × 6 候选） | 2.2–3.1s | 超时 8s 自动回退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单查询嵌入 | 查询向量化 | 17ms（384 维） | 本地 ONNX 推理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索引构建 | 全量重建（11,143 块） | 729s（lancedb）/ 605s（sqlite） | 串行嵌入，分批 32 条控内存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步骤耗时可见性 | 六步耗时（解析/映射/召回/预测/排序/报告） | 界面展示各步 Δms 与总耗时 | 结果页紧凑步进条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七、工程质量指标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指标 | 定义 | 当前值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|---|---|---|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| 测试规模 | 六个包的单元/集成用例 | </w:t>
      </w:r>
      <w:r>
        <w:rPr>
          <w:rFonts w:ascii="宋体" w:hAnsi="宋体" w:eastAsia="宋体"/>
          <w:b/>
          <w:sz w:val="24"/>
        </w:rPr>
        <w:t>327 条</w:t>
      </w:r>
      <w:r>
        <w:rPr>
          <w:rFonts w:ascii="宋体" w:hAnsi="宋体" w:eastAsia="宋体"/>
          <w:b w:val="0"/>
          <w:sz w:val="24"/>
        </w:rPr>
        <w:t>（contracts 10 / embedding 14 / retrieval 17 / server 74 / web 171 / scripts 41，3 条按设计跳过）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端到端回归 | 5 案例主流程 + 3 类降级 | 全绿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类型与构建 | TypeScript 类型检查 + 生产构建 | 全部通过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评审门禁 | 独立评审角色对设计/实现/UI 的分级审查 | 2 项严重 + 9 项重要全部闭环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匿名性 | 仓库元数据、文案、提交身份审计 | 通过（审计脚本）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| 契约驱动 | 表单、证据、指标均由契约与字段注册表驱动 | 新增字段不改 UI 代码 |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八、测量脚本与复现命令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```bash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全量测试（六包）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test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金标准召回（混合口径；--bm25 为离线关键词模式）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exec tsx scripts/golden-eval.ts lancedb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引用支撑率（需 .env 配置大模型密钥；--calibrate 为幻觉自检）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exec tsx scripts/faithfulness-eval.ts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exec tsx scripts/faithfulness-eval.ts --calibrate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端到端：5 案例主流程（含确定性复现）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E2E_BASE_URL=http://127.0.0.1:3010 pnpm exec tsx scripts/e2e-cases.ts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端到端：3 类降级场景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exec tsx scripts/e2e-degradation.ts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索引重建（可复现语料 → 索引链路）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HF_ENDPOINT=https://hf-mirror.com pnpm build:index --rebuild --backend=lancedb --model=multilingual-e5-small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语料校验与匿名性审计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exec tsx scripts/validate-corpus.ts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exec tsx scripts/anonymity-audit.ts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查询扩展与嵌入模型消融实验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pnpm exec tsx scripts/query-expansion-eval.ts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```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九、指标的局限与边界（如实说明）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引用支撑率是启发式指标</w:t>
      </w:r>
      <w:r>
        <w:rPr>
          <w:rFonts w:ascii="宋体" w:hAnsi="宋体" w:eastAsia="宋体"/>
          <w:b w:val="0"/>
          <w:sz w:val="24"/>
        </w:rPr>
        <w:t>：裁判为概率模型，多轮测量在 85%–100% 波动，仅作回归趋势与下限校核，最终以人工抽查为准。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金标准仅 38 条</w:t>
      </w:r>
      <w:r>
        <w:rPr>
          <w:rFonts w:ascii="宋体" w:hAnsi="宋体" w:eastAsia="宋体"/>
          <w:b w:val="0"/>
          <w:sz w:val="24"/>
        </w:rPr>
        <w:t>：覆盖有限，不能代表全部长尾场景；新增语料或改检索策略时需同步扩充用例。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确定性只覆盖数值管线</w:t>
      </w:r>
      <w:r>
        <w:rPr>
          <w:rFonts w:ascii="宋体" w:hAnsi="宋体" w:eastAsia="宋体"/>
          <w:b w:val="0"/>
          <w:sz w:val="24"/>
        </w:rPr>
        <w:t>：报告文案、证据排序、可用性状态按定义每次可不同，不在此红线内。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消融结论依赖当前语料</w:t>
      </w:r>
      <w:r>
        <w:rPr>
          <w:rFonts w:ascii="宋体" w:hAnsi="宋体" w:eastAsia="宋体"/>
          <w:b w:val="0"/>
          <w:sz w:val="24"/>
        </w:rPr>
        <w:t>：嵌入模型、查询扩展、MMR 的否决结论对当前 11,143 块语料成立，语料结构大改后应重测。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企业实测指标为模拟阶段数据</w:t>
      </w:r>
      <w:r>
        <w:rPr>
          <w:rFonts w:ascii="宋体" w:hAnsi="宋体" w:eastAsia="宋体"/>
          <w:b w:val="0"/>
          <w:sz w:val="24"/>
        </w:rPr>
        <w:t>：真实预测模块接入后，指标数值将由模型推理产生，届时需补充"预测误差"类指标（MAE/RMSE 等），本文件指标框架已预留该扩展。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