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p>
    <w:p>
      <w:pPr>
        <w:pStyle w:val="Author"/>
      </w:pPr>
      <w:r>
        <w:t xml:space="preserve">Maggie</w:t>
      </w:r>
      <w:r>
        <w:t xml:space="preserve"> </w:t>
      </w:r>
      <w:r>
        <w:t xml:space="preserve">Walsh</w:t>
      </w:r>
    </w:p>
    <w:p>
      <w:pPr>
        <w:pStyle w:val="Date"/>
      </w:pPr>
      <w:r>
        <w:t xml:space="preserve">February</w:t>
      </w:r>
      <w:r>
        <w:t xml:space="preserve"> </w:t>
      </w:r>
      <w:r>
        <w:t xml:space="preserve">10,</w:t>
      </w:r>
      <w:r>
        <w:t xml:space="preserve"> </w:t>
      </w:r>
      <w:r>
        <w:t xml:space="preserve">2020</w:t>
      </w:r>
    </w:p>
    <w:p>
      <w:pPr>
        <w:pStyle w:val="Heading1"/>
      </w:pPr>
      <w:bookmarkStart w:id="20" w:name="introduction"/>
      <w:r>
        <w:t xml:space="preserve">Introduction</w:t>
      </w:r>
      <w:bookmarkEnd w:id="20"/>
    </w:p>
    <w:p>
      <w:pPr>
        <w:pStyle w:val="FirstParagraph"/>
      </w:pPr>
      <w:r>
        <w:t xml:space="preserve">Toxic contamination of the air, especially in urban areas, has been a subject of public concern and scientific study for decades. The Clean Air Act Ammendments of 1990 introduced 187 toxic pollutants called hazardous air pollutants (HAPs).These HAPs are released from both natural and anthropogenic sources, and are classified distinctly from criteria pollutants like ground-level ozone, carbon monoxide, and lead. Although HAPs are usually released from the same sources as critera pollutants</w:t>
      </w:r>
      <w:r>
        <w:t xml:space="preserve"> </w:t>
      </w:r>
      <w:r>
        <w:t xml:space="preserve">(Strum and Scheffe 2016)</w:t>
      </w:r>
      <w:r>
        <w:t xml:space="preserve"> </w:t>
      </w:r>
      <w:r>
        <w:t xml:space="preserve">they are distinct because of their link to cancer and other serious health problems.</w:t>
      </w:r>
    </w:p>
    <w:p>
      <w:pPr>
        <w:pStyle w:val="BodyText"/>
      </w:pPr>
      <w:r>
        <w:t xml:space="preserve">Major anthropogenic sources of HAPs includes transportation (mobile), industry and power production (point), and smaller, local sources such as dry cleaners (area)</w:t>
      </w:r>
      <w:r>
        <w:t xml:space="preserve"> </w:t>
      </w:r>
      <w:r>
        <w:t xml:space="preserve">(Strum and Scheffe 2016)</w:t>
      </w:r>
      <w:r>
        <w:t xml:space="preserve">. Health risks from mobile sources of HAPs has become a great concern, especially in expanding cities where workers commute by car in huge numbers</w:t>
      </w:r>
      <w:r>
        <w:t xml:space="preserve"> </w:t>
      </w:r>
      <w:r>
        <w:t xml:space="preserve">(Mayer 1999)</w:t>
      </w:r>
      <w:r>
        <w:t xml:space="preserve">. HAPs released from mobile sources alone have been shown to lead to birth defects such as low birth weight of babies</w:t>
      </w:r>
      <w:r>
        <w:t xml:space="preserve"> </w:t>
      </w:r>
      <w:r>
        <w:t xml:space="preserve">(Wilhelm et al. 2012)</w:t>
      </w:r>
      <w:r>
        <w:t xml:space="preserve">. There have been arguments that the work of the EPA to enforce the Clean Air Act focuses too much on point sources, when a large volume of HAPs come from area and mobile sources</w:t>
      </w:r>
      <w:r>
        <w:t xml:space="preserve"> </w:t>
      </w:r>
      <w:r>
        <w:t xml:space="preserve">(Axelrad et al. 1999, Strum and Scheffe 2016)</w:t>
      </w:r>
      <w:r>
        <w:t xml:space="preserve">.</w:t>
      </w:r>
    </w:p>
    <w:p>
      <w:pPr>
        <w:pStyle w:val="BodyText"/>
      </w:pPr>
      <w:r>
        <w:t xml:space="preserve">The city of San Francisco is no exception. A relatively small industrial zone compared to a multitude of mobile sources combined with smaller area sources suggests a greater need to focus on mobile and area sources in research. Although nationwide studies are necessary to evaluate general trends, there is an additional need for nuanced analysis of different areas. The goal of this field study was to assess the presence of various HAPs in the air in different neighborhoods in the city of San Francisco, and analyze how the relative toxic profiles compare, in light of different polluting factors present in that area. The question that I asked was: among the sources of air pollution in the city of San Francisco, what are the sources most impactful to health in terms of emission of hazardous air pollutants? The best guess would be mobile sources, namely cars, at least in areas with major freeways that get a higher volume of traffic. I also hypothesize that construction sites are a major emittor, since they utilize fuel burning machinery and work with hazardous materials, often times disturbing land and dislodging any hazardous pollution from the ground into the air. A large population will elicit large amounts of mobile source pollution as well as area source pollution, residential heating systems are examples of area sources of pollution that will add up quickly. I think the more densely populated parts of san francisco will see large amounts of area source pollution as well.</w:t>
      </w:r>
    </w:p>
    <w:p>
      <w:pPr>
        <w:pStyle w:val="BodyText"/>
      </w:pPr>
      <w:r>
        <w:t xml:space="preserve">Analyzing the sources of air pollution urban populations are actually being exposed to has immense implications for the environmental justice movement. Historically, environmental justice too has centered around the pollution emission from stationary sources such as hazardous waste dumps or large factories. Recognizing major sources of pollution often leads to discovery of how it disproportionately effects racial/ethnic minorities and the lower class. Knowledge of negative health effects from pollution can make these communities better prepared to resist such oppression</w:t>
      </w:r>
      <w:r>
        <w:t xml:space="preserve"> </w:t>
      </w:r>
      <w:r>
        <w:t xml:space="preserve">(Wier et al. 2009)</w:t>
      </w:r>
      <w:r>
        <w:t xml:space="preserve">.</w:t>
      </w:r>
    </w:p>
    <w:p>
      <w:pPr>
        <w:pStyle w:val="Heading1"/>
      </w:pPr>
      <w:bookmarkStart w:id="21" w:name="methods"/>
      <w:r>
        <w:t xml:space="preserve">Methods</w:t>
      </w:r>
      <w:bookmarkEnd w:id="21"/>
    </w:p>
    <w:p>
      <w:pPr>
        <w:pStyle w:val="FirstParagraph"/>
      </w:pPr>
      <w:r>
        <w:t xml:space="preserve">Add text here.</w:t>
      </w:r>
    </w:p>
    <w:p>
      <w:pPr>
        <w:pStyle w:val="Heading2"/>
      </w:pPr>
      <w:bookmarkStart w:id="22" w:name="site-locations-and-descriptions"/>
      <w:r>
        <w:t xml:space="preserve">Site Locations and Descriptions</w:t>
      </w:r>
      <w:bookmarkEnd w:id="22"/>
    </w:p>
    <w:p>
      <w:pPr>
        <w:pStyle w:val="FirstParagraph"/>
      </w:pPr>
      <w:r>
        <w:t xml:space="preserve">Add text here.</w:t>
      </w:r>
    </w:p>
    <w:p>
      <w:pPr>
        <w:pStyle w:val="Heading2"/>
      </w:pPr>
      <w:bookmarkStart w:id="23" w:name="field-sampling-design"/>
      <w:r>
        <w:t xml:space="preserve">Field Sampling Design</w:t>
      </w:r>
      <w:bookmarkEnd w:id="23"/>
    </w:p>
    <w:p>
      <w:pPr>
        <w:pStyle w:val="FirstParagraph"/>
      </w:pPr>
      <w:r>
        <w:t xml:space="preserve">Add text here.</w:t>
      </w:r>
    </w:p>
    <w:p>
      <w:pPr>
        <w:pStyle w:val="Heading2"/>
      </w:pPr>
      <w:bookmarkStart w:id="24" w:name="data-analysis-and-statistics"/>
      <w:r>
        <w:t xml:space="preserve">Data Analysis and Statistics</w:t>
      </w:r>
      <w:bookmarkEnd w:id="24"/>
    </w:p>
    <w:p>
      <w:pPr>
        <w:pStyle w:val="FirstParagraph"/>
      </w:pPr>
      <w:r>
        <w:t xml:space="preserve">Add text here.</w:t>
      </w:r>
    </w:p>
    <w:p>
      <w:pPr>
        <w:pStyle w:val="Heading1"/>
      </w:pPr>
      <w:bookmarkStart w:id="25" w:name="results"/>
      <w:r>
        <w:t xml:space="preserve">Results</w:t>
      </w:r>
      <w:bookmarkEnd w:id="25"/>
    </w:p>
    <w:p>
      <w:pPr>
        <w:pStyle w:val="Heading2"/>
      </w:pPr>
      <w:bookmarkStart w:id="26" w:name="subsections-are-ok-in-the-results-section-too"/>
      <w:r>
        <w:t xml:space="preserve">Subsections are ok in the results section too</w:t>
      </w:r>
      <w:bookmarkEnd w:id="26"/>
    </w:p>
    <w:p>
      <w:pPr>
        <w:pStyle w:val="FirstParagraph"/>
      </w:pPr>
      <w:r>
        <w:t xml:space="preserve">Add a number of code chunks in the Results section. These should read in, subset and plot the data as needed (no need to save any figures to pdf, since they will be put into the rendered document when you click</w:t>
      </w:r>
      <w:r>
        <w:t xml:space="preserve"> </w:t>
      </w:r>
      <w:r>
        <w:t xml:space="preserve">‘</w:t>
      </w:r>
      <w:r>
        <w:t xml:space="preserve">knit</w:t>
      </w:r>
      <w:r>
        <w:t xml:space="preserve">’</w:t>
      </w:r>
      <w:r>
        <w:t xml:space="preserve">), and, for any hypotheses that you want to test, an appropriate statistical test.</w:t>
      </w:r>
    </w:p>
    <w:p>
      <w:pPr>
        <w:pStyle w:val="SourceCode"/>
      </w:pPr>
      <w:r>
        <w:rPr>
          <w:rStyle w:val="CommentTok"/>
        </w:rPr>
        <w:t xml:space="preserve"># If you add any additional packages here, make sure they are</w:t>
      </w:r>
      <w:r>
        <w:br w:type="textWrapping"/>
      </w:r>
      <w:r>
        <w:rPr>
          <w:rStyle w:val="CommentTok"/>
        </w:rPr>
        <w:t xml:space="preserve"># also listed in the DESCRIPTION file</w:t>
      </w:r>
      <w:r>
        <w:br w:type="textWrapping"/>
      </w:r>
      <w:r>
        <w:rPr>
          <w:rStyle w:val="KeywordTok"/>
        </w:rPr>
        <w:t xml:space="preserve">library</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w:t>
      </w:r>
      <w:r>
        <w:rPr>
          <w:rStyle w:val="StringTok"/>
        </w:rPr>
        <w:t xml:space="preserve">"tidyr"</w:t>
      </w:r>
      <w:r>
        <w:rPr>
          <w:rStyle w:val="NormalTok"/>
        </w:rPr>
        <w:t xml:space="preserve">)</w:t>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rPr>
          <w:rStyle w:val="KeywordTok"/>
        </w:rPr>
        <w:t xml:space="preserve">library</w:t>
      </w:r>
      <w:r>
        <w:rPr>
          <w:rStyle w:val="NormalTok"/>
        </w:rPr>
        <w:t xml:space="preserve">(</w:t>
      </w:r>
      <w:r>
        <w:rPr>
          <w:rStyle w:val="StringTok"/>
        </w:rPr>
        <w:t xml:space="preserve">"readr"</w:t>
      </w:r>
      <w:r>
        <w:rPr>
          <w:rStyle w:val="NormalTok"/>
        </w:rPr>
        <w:t xml:space="preserve">)</w:t>
      </w:r>
    </w:p>
    <w:p>
      <w:pPr>
        <w:pStyle w:val="Heading1"/>
      </w:pPr>
      <w:bookmarkStart w:id="27" w:name="discussion"/>
      <w:r>
        <w:t xml:space="preserve">Discussion</w:t>
      </w:r>
      <w:bookmarkEnd w:id="27"/>
    </w:p>
    <w:p>
      <w:pPr>
        <w:pStyle w:val="Heading1"/>
      </w:pPr>
      <w:bookmarkStart w:id="28" w:name="sources-cited"/>
      <w:r>
        <w:t xml:space="preserve">Sources Cited</w:t>
      </w:r>
      <w:bookmarkEnd w:id="28"/>
    </w:p>
    <w:bookmarkStart w:id="34" w:name="refs"/>
    <w:bookmarkStart w:id="29" w:name="ref-axelrad1999assessment"/>
    <w:p>
      <w:pPr>
        <w:pStyle w:val="Bibliography"/>
      </w:pPr>
      <w:r>
        <w:t xml:space="preserve">Axelrad, D. A., R. A. Morello-Frosch, T. J. Woodruff, and J. C. Caldwell. 1999. Assessment of estimated 1990 air toxics concentrations in urban areas in the united states. Environmental Science &amp; Policy 2:397–411.</w:t>
      </w:r>
    </w:p>
    <w:bookmarkEnd w:id="29"/>
    <w:bookmarkStart w:id="30" w:name="ref-mayer1999air"/>
    <w:p>
      <w:pPr>
        <w:pStyle w:val="Bibliography"/>
      </w:pPr>
      <w:r>
        <w:t xml:space="preserve">Mayer, H. 1999. Air pollution in cities. Atmospheric environment 33:4029–4037.</w:t>
      </w:r>
    </w:p>
    <w:bookmarkEnd w:id="30"/>
    <w:bookmarkStart w:id="31" w:name="ref-strum2016national"/>
    <w:p>
      <w:pPr>
        <w:pStyle w:val="Bibliography"/>
      </w:pPr>
      <w:r>
        <w:t xml:space="preserve">Strum, M., and R. Scheffe. 2016. National review of ambient air toxics observations. Journal of the Air &amp; Waste Management Association 66:120–133.</w:t>
      </w:r>
    </w:p>
    <w:bookmarkEnd w:id="31"/>
    <w:bookmarkStart w:id="32" w:name="ref-wier2009health"/>
    <w:p>
      <w:pPr>
        <w:pStyle w:val="Bibliography"/>
      </w:pPr>
      <w:r>
        <w:t xml:space="preserve">Wier, M., C. Sciammas, E. Seto, R. Bhatia, and T. Rivard. 2009. Health, traffic, and environmental justice: Collaborative research and community action in san francisco, california. American Journal of Public Health 99:S499–S504.</w:t>
      </w:r>
    </w:p>
    <w:bookmarkEnd w:id="32"/>
    <w:bookmarkStart w:id="33" w:name="ref-wilhelm2012traffic"/>
    <w:p>
      <w:pPr>
        <w:pStyle w:val="Bibliography"/>
      </w:pPr>
      <w:r>
        <w:t xml:space="preserve">Wilhelm, M., J. K. Ghosh, J. Su, M. Cockburn, M. Jerrett, and B. Ritz. 2012. Traffic-related air toxics and term low birth weight in los angeles county, california. Environmental health perspectives 120:132–138.</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dc:title>
  <dc:creator>Maggie Walsh</dc:creator>
  <cp:keywords/>
  <dcterms:created xsi:type="dcterms:W3CDTF">2020-03-02T03:14:41Z</dcterms:created>
  <dcterms:modified xsi:type="dcterms:W3CDTF">2020-03-02T03:14:41Z</dcterms:modified>
</cp:coreProperties>
</file>