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t4vcj2hgdph" w:id="0"/>
      <w:bookmarkEnd w:id="0"/>
      <w:r w:rsidDel="00000000" w:rsidR="00000000" w:rsidRPr="00000000">
        <w:rPr>
          <w:rtl w:val="0"/>
        </w:rPr>
        <w:t xml:space="preserve">Dataset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33333"/>
          <w:highlight w:val="white"/>
        </w:rPr>
      </w:pPr>
      <w:r w:rsidDel="00000000" w:rsidR="00000000" w:rsidRPr="00000000">
        <w:rPr>
          <w:rtl w:val="0"/>
        </w:rPr>
        <w:t xml:space="preserve">Dataset chosen for this assignment is called “Data on COVID-19 vaccination in EU/EEA (European Centre for Disease Prevention and Control, 2021),  and was obtained from the European</w:t>
      </w:r>
      <w:r w:rsidDel="00000000" w:rsidR="00000000" w:rsidRPr="00000000">
        <w:rPr>
          <w:color w:val="333333"/>
          <w:highlight w:val="white"/>
          <w:rtl w:val="0"/>
        </w:rPr>
        <w:t xml:space="preserve"> Centre for Disease Prevention and Control website. </w:t>
      </w:r>
    </w:p>
    <w:p w:rsidR="00000000" w:rsidDel="00000000" w:rsidP="00000000" w:rsidRDefault="00000000" w:rsidRPr="00000000" w14:paraId="00000004">
      <w:pPr>
        <w:rPr>
          <w:color w:val="333333"/>
          <w:highlight w:val="white"/>
        </w:rPr>
      </w:pPr>
      <w:r w:rsidDel="00000000" w:rsidR="00000000" w:rsidRPr="00000000">
        <w:rPr>
          <w:rtl w:val="0"/>
        </w:rPr>
      </w:r>
    </w:p>
    <w:p w:rsidR="00000000" w:rsidDel="00000000" w:rsidP="00000000" w:rsidRDefault="00000000" w:rsidRPr="00000000" w14:paraId="00000005">
      <w:pPr>
        <w:rPr>
          <w:color w:val="333333"/>
          <w:highlight w:val="white"/>
        </w:rPr>
      </w:pPr>
      <w:r w:rsidDel="00000000" w:rsidR="00000000" w:rsidRPr="00000000">
        <w:rPr>
          <w:color w:val="333333"/>
          <w:highlight w:val="white"/>
          <w:rtl w:val="0"/>
        </w:rPr>
        <w:t xml:space="preserve">Initially, it contained </w:t>
      </w:r>
      <w:r w:rsidDel="00000000" w:rsidR="00000000" w:rsidRPr="00000000">
        <w:rPr>
          <w:color w:val="333333"/>
          <w:highlight w:val="white"/>
          <w:rtl w:val="0"/>
        </w:rPr>
        <w:t xml:space="preserve">815,597 rows and 18 columns. </w:t>
      </w:r>
    </w:p>
    <w:p w:rsidR="00000000" w:rsidDel="00000000" w:rsidP="00000000" w:rsidRDefault="00000000" w:rsidRPr="00000000" w14:paraId="00000006">
      <w:pPr>
        <w:rPr>
          <w:color w:val="333333"/>
          <w:highlight w:val="white"/>
        </w:rPr>
      </w:pPr>
      <w:r w:rsidDel="00000000" w:rsidR="00000000" w:rsidRPr="00000000">
        <w:rPr>
          <w:rtl w:val="0"/>
        </w:rPr>
      </w:r>
    </w:p>
    <w:p w:rsidR="00000000" w:rsidDel="00000000" w:rsidP="00000000" w:rsidRDefault="00000000" w:rsidRPr="00000000" w14:paraId="00000007">
      <w:pPr>
        <w:numPr>
          <w:ilvl w:val="0"/>
          <w:numId w:val="4"/>
        </w:numPr>
        <w:ind w:left="720" w:hanging="360"/>
        <w:rPr>
          <w:color w:val="333333"/>
          <w:highlight w:val="white"/>
          <w:u w:val="none"/>
        </w:rPr>
      </w:pPr>
      <w:r w:rsidDel="00000000" w:rsidR="00000000" w:rsidRPr="00000000">
        <w:rPr>
          <w:rtl w:val="0"/>
        </w:rPr>
      </w:r>
    </w:p>
    <w:p w:rsidR="00000000" w:rsidDel="00000000" w:rsidP="00000000" w:rsidRDefault="00000000" w:rsidRPr="00000000" w14:paraId="00000008">
      <w:pPr>
        <w:rPr>
          <w:color w:val="333333"/>
          <w:highlight w:val="white"/>
        </w:rPr>
      </w:pPr>
      <w:r w:rsidDel="00000000" w:rsidR="00000000" w:rsidRPr="00000000">
        <w:rPr>
          <w:rtl w:val="0"/>
        </w:rPr>
      </w:r>
    </w:p>
    <w:p w:rsidR="00000000" w:rsidDel="00000000" w:rsidP="00000000" w:rsidRDefault="00000000" w:rsidRPr="00000000" w14:paraId="00000009">
      <w:pPr>
        <w:pStyle w:val="Heading2"/>
        <w:rPr/>
      </w:pPr>
      <w:bookmarkStart w:colFirst="0" w:colLast="0" w:name="_vr6ter8bzatp" w:id="1"/>
      <w:bookmarkEnd w:id="1"/>
      <w:r w:rsidDel="00000000" w:rsidR="00000000" w:rsidRPr="00000000">
        <w:rPr>
          <w:rtl w:val="0"/>
        </w:rPr>
        <w:t xml:space="preserve">N.A values  and repetitive columns</w:t>
      </w:r>
    </w:p>
    <w:p w:rsidR="00000000" w:rsidDel="00000000" w:rsidP="00000000" w:rsidRDefault="00000000" w:rsidRPr="00000000" w14:paraId="0000000A">
      <w:pPr>
        <w:rPr>
          <w:color w:val="333333"/>
          <w:highlight w:val="white"/>
        </w:rPr>
      </w:pPr>
      <w:r w:rsidDel="00000000" w:rsidR="00000000" w:rsidRPr="00000000">
        <w:rPr>
          <w:rtl w:val="0"/>
        </w:rPr>
      </w:r>
    </w:p>
    <w:p w:rsidR="00000000" w:rsidDel="00000000" w:rsidP="00000000" w:rsidRDefault="00000000" w:rsidRPr="00000000" w14:paraId="0000000B">
      <w:pPr>
        <w:rPr>
          <w:color w:val="333333"/>
          <w:highlight w:val="white"/>
        </w:rPr>
      </w:pPr>
      <w:r w:rsidDel="00000000" w:rsidR="00000000" w:rsidRPr="00000000">
        <w:rPr>
          <w:color w:val="333333"/>
          <w:highlight w:val="white"/>
          <w:rtl w:val="0"/>
        </w:rPr>
        <w:t xml:space="preserve">In the first step of cleaning data, I identified that one of the columns, called “FirstDoseRefused” contained only “N.A” values. We have to remove this column in order to proceed with any further exploration. </w:t>
      </w:r>
    </w:p>
    <w:p w:rsidR="00000000" w:rsidDel="00000000" w:rsidP="00000000" w:rsidRDefault="00000000" w:rsidRPr="00000000" w14:paraId="0000000C">
      <w:pPr>
        <w:rPr>
          <w:color w:val="333333"/>
          <w:highlight w:val="white"/>
        </w:rPr>
      </w:pPr>
      <w:r w:rsidDel="00000000" w:rsidR="00000000" w:rsidRPr="00000000">
        <w:rPr>
          <w:rtl w:val="0"/>
        </w:rPr>
      </w:r>
    </w:p>
    <w:p w:rsidR="00000000" w:rsidDel="00000000" w:rsidP="00000000" w:rsidRDefault="00000000" w:rsidRPr="00000000" w14:paraId="0000000D">
      <w:pPr>
        <w:rPr>
          <w:color w:val="333333"/>
          <w:highlight w:val="white"/>
        </w:rPr>
      </w:pPr>
      <w:r w:rsidDel="00000000" w:rsidR="00000000" w:rsidRPr="00000000">
        <w:rPr>
          <w:color w:val="333333"/>
          <w:highlight w:val="white"/>
          <w:rtl w:val="0"/>
        </w:rPr>
        <w:t xml:space="preserve">Further filtration with na.omit() function has not change dimensions of the dataset </w:t>
      </w:r>
    </w:p>
    <w:p w:rsidR="00000000" w:rsidDel="00000000" w:rsidP="00000000" w:rsidRDefault="00000000" w:rsidRPr="00000000" w14:paraId="0000000E">
      <w:pPr>
        <w:rPr>
          <w:color w:val="333333"/>
          <w:highlight w:val="white"/>
        </w:rPr>
      </w:pPr>
      <w:r w:rsidDel="00000000" w:rsidR="00000000" w:rsidRPr="00000000">
        <w:rPr>
          <w:rtl w:val="0"/>
        </w:rPr>
      </w:r>
    </w:p>
    <w:p w:rsidR="00000000" w:rsidDel="00000000" w:rsidP="00000000" w:rsidRDefault="00000000" w:rsidRPr="00000000" w14:paraId="0000000F">
      <w:pPr>
        <w:rPr>
          <w:color w:val="333333"/>
          <w:highlight w:val="white"/>
        </w:rPr>
      </w:pPr>
      <w:r w:rsidDel="00000000" w:rsidR="00000000" w:rsidRPr="00000000">
        <w:rPr>
          <w:color w:val="333333"/>
          <w:highlight w:val="white"/>
          <w:rtl w:val="0"/>
        </w:rPr>
        <w:t xml:space="preserve">Upon further investigation of the original dataset we can conclude that two of the columns have very similar values. Those columns are Reporting Country and Region. We can identify that there are 22 reporting countries and 24 regions, and from the PDF documentation included with the dataset, we can find that regions are specific to the country. Therefor, we can remove region column from the dataset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Dataset dimensions after cleaning of NA values: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Number of rows: 85140</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Number of columns: 16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yjueg5chigrg" w:id="2"/>
      <w:bookmarkEnd w:id="2"/>
      <w:r w:rsidDel="00000000" w:rsidR="00000000" w:rsidRPr="00000000">
        <w:rPr>
          <w:rtl w:val="0"/>
        </w:rPr>
        <w:t xml:space="preserve">Identification of variable types and description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Categorical</w:t>
      </w:r>
      <w:r w:rsidDel="00000000" w:rsidR="00000000" w:rsidRPr="00000000">
        <w:rPr>
          <w:rtl w:val="0"/>
        </w:rPr>
        <w:t xml:space="preserve">: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YearWeekISO - year and week reported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ReportingCountry - country code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Region - country code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Target Group - age group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Vaccine - vaccine code </w:t>
      </w:r>
    </w:p>
    <w:p w:rsidR="00000000" w:rsidDel="00000000" w:rsidP="00000000" w:rsidRDefault="00000000" w:rsidRPr="00000000" w14:paraId="0000001E">
      <w:pPr>
        <w:rPr/>
      </w:pPr>
      <w:r w:rsidDel="00000000" w:rsidR="00000000" w:rsidRPr="00000000">
        <w:rPr>
          <w:b w:val="1"/>
          <w:rtl w:val="0"/>
        </w:rPr>
        <w:t xml:space="preserve">Discrete Variables</w:t>
      </w:r>
      <w:r w:rsidDel="00000000" w:rsidR="00000000" w:rsidRPr="00000000">
        <w:rPr>
          <w:rtl w:val="0"/>
        </w:rPr>
        <w:t xml:space="preserve">: </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Denominator </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Number of Doses Received </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Number of Doses Exported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First Dose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Second Dose </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Dose Additional 1</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Dose Additional 2</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Dose Additional 3</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Dose Additional 4</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Dose Additional 5</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Unknown Dose</w:t>
      </w:r>
    </w:p>
    <w:p w:rsidR="00000000" w:rsidDel="00000000" w:rsidP="00000000" w:rsidRDefault="00000000" w:rsidRPr="00000000" w14:paraId="0000002A">
      <w:pPr>
        <w:ind w:left="0" w:firstLine="0"/>
        <w:rPr/>
      </w:pPr>
      <w:r w:rsidDel="00000000" w:rsidR="00000000" w:rsidRPr="00000000">
        <w:rPr>
          <w:b w:val="1"/>
          <w:rtl w:val="0"/>
        </w:rPr>
        <w:t xml:space="preserve">Continuous Variables</w:t>
      </w:r>
      <w:r w:rsidDel="00000000" w:rsidR="00000000" w:rsidRPr="00000000">
        <w:rPr>
          <w:rtl w:val="0"/>
        </w:rPr>
        <w:t xml:space="preserve">: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Population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wzcovxx5kob3" w:id="3"/>
      <w:bookmarkEnd w:id="3"/>
      <w:r w:rsidDel="00000000" w:rsidR="00000000" w:rsidRPr="00000000">
        <w:rPr>
          <w:rtl w:val="0"/>
        </w:rPr>
      </w:r>
    </w:p>
    <w:p w:rsidR="00000000" w:rsidDel="00000000" w:rsidP="00000000" w:rsidRDefault="00000000" w:rsidRPr="00000000" w14:paraId="0000002F">
      <w:pPr>
        <w:pStyle w:val="Heading2"/>
        <w:rPr/>
      </w:pPr>
      <w:bookmarkStart w:colFirst="0" w:colLast="0" w:name="_r3b1f1zdec39" w:id="4"/>
      <w:bookmarkEnd w:id="4"/>
      <w:r w:rsidDel="00000000" w:rsidR="00000000" w:rsidRPr="00000000">
        <w:rPr>
          <w:rtl w:val="0"/>
        </w:rPr>
        <w:t xml:space="preserve">Outliers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terms of outliers, we can identify 2 different columns in which outliers could occur, such that it could influence our later exploration. Those columns are Denominator (fig 1) and Population (fig 2). </w:t>
      </w:r>
    </w:p>
    <w:p w:rsidR="00000000" w:rsidDel="00000000" w:rsidP="00000000" w:rsidRDefault="00000000" w:rsidRPr="00000000" w14:paraId="00000032">
      <w:pPr>
        <w:rPr/>
      </w:pPr>
      <w:r w:rsidDel="00000000" w:rsidR="00000000" w:rsidRPr="00000000">
        <w:rPr>
          <w:rtl w:val="0"/>
        </w:rPr>
        <w:t xml:space="preserve">We can further read from the PDF document obtained along with a dataset from the website (European Centre for Disease Prevention and Control, 2021) that Denominator is </w:t>
      </w:r>
      <w:r w:rsidDel="00000000" w:rsidR="00000000" w:rsidRPr="00000000">
        <w:rPr>
          <w:i w:val="1"/>
          <w:rtl w:val="0"/>
        </w:rPr>
        <w:t xml:space="preserve">“Population denominators for target groups (total population and age- specific population obtained from Eurostat/UN). Denominators reported by countries for TargetGroup = “HCW” and TargetGroup = “LTCF”.”  </w:t>
      </w:r>
      <w:r w:rsidDel="00000000" w:rsidR="00000000" w:rsidRPr="00000000">
        <w:rPr>
          <w:rtl w:val="0"/>
        </w:rPr>
        <w:t xml:space="preserve">and Population is “</w:t>
      </w:r>
      <w:r w:rsidDel="00000000" w:rsidR="00000000" w:rsidRPr="00000000">
        <w:rPr>
          <w:i w:val="1"/>
          <w:rtl w:val="0"/>
        </w:rPr>
        <w:t xml:space="preserve">Age-specific population for the country</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In terms of those 2 variables, outliers would indicate that the population in a particular country is larger than the average, however, this would not change further observations since the number of vaccines received should be corresponding to population number.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486400" cy="38433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i w:val="1"/>
          <w:sz w:val="18"/>
          <w:szCs w:val="18"/>
        </w:rPr>
      </w:pPr>
      <w:r w:rsidDel="00000000" w:rsidR="00000000" w:rsidRPr="00000000">
        <w:rPr>
          <w:i w:val="1"/>
          <w:sz w:val="18"/>
          <w:szCs w:val="18"/>
          <w:rtl w:val="0"/>
        </w:rPr>
        <w:t xml:space="preserve">Fig 1 - Box plot of Denominator</w:t>
      </w:r>
    </w:p>
    <w:p w:rsidR="00000000" w:rsidDel="00000000" w:rsidP="00000000" w:rsidRDefault="00000000" w:rsidRPr="00000000" w14:paraId="00000038">
      <w:pPr>
        <w:jc w:val="center"/>
        <w:rPr>
          <w:i w:val="1"/>
          <w:sz w:val="18"/>
          <w:szCs w:val="18"/>
        </w:rPr>
      </w:pPr>
      <w:r w:rsidDel="00000000" w:rsidR="00000000" w:rsidRPr="00000000">
        <w:rPr>
          <w:rtl w:val="0"/>
        </w:rPr>
      </w:r>
    </w:p>
    <w:p w:rsidR="00000000" w:rsidDel="00000000" w:rsidP="00000000" w:rsidRDefault="00000000" w:rsidRPr="00000000" w14:paraId="00000039">
      <w:pPr>
        <w:jc w:val="center"/>
        <w:rPr>
          <w:i w:val="1"/>
          <w:sz w:val="18"/>
          <w:szCs w:val="18"/>
        </w:rPr>
      </w:pPr>
      <w:r w:rsidDel="00000000" w:rsidR="00000000" w:rsidRPr="00000000">
        <w:rPr>
          <w:i w:val="1"/>
          <w:sz w:val="18"/>
          <w:szCs w:val="18"/>
        </w:rPr>
        <w:drawing>
          <wp:inline distB="114300" distT="114300" distL="114300" distR="114300">
            <wp:extent cx="5734050" cy="403026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03026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i w:val="1"/>
          <w:sz w:val="18"/>
          <w:szCs w:val="18"/>
        </w:rPr>
      </w:pPr>
      <w:r w:rsidDel="00000000" w:rsidR="00000000" w:rsidRPr="00000000">
        <w:rPr>
          <w:i w:val="1"/>
          <w:sz w:val="18"/>
          <w:szCs w:val="18"/>
          <w:rtl w:val="0"/>
        </w:rPr>
        <w:t xml:space="preserve">Fig 2 - Box plot of Population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