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ource_and_data_additions_for_ris_e21cb3"/>
      <w:r>
        <w:rPr>
          <w:rFonts w:eastAsia="georgia" w:cs="georgia" w:ascii="georgia" w:hAnsi="georgia"/>
          <w:b/>
          <w:color w:val="000000"/>
          <w:sz w:val="39"/>
        </w:rPr>
        <w:t xml:space="preserve">Source and Data Additions for </w:t>
      </w:r>
      <w:r>
        <w:rPr>
          <w:rFonts w:eastAsia="georgia" w:cs="georgia" w:ascii="georgia" w:hAnsi="georgia"/>
          <w:b/>
          <w:i/>
          <w:color w:val="000000"/>
          <w:sz w:val="39"/>
        </w:rPr>
        <w:t xml:space="preserve">Risk in the Indian Economic Context</w:t>
      </w:r>
      <w:bookmarkEnd w:id="0"/>
    </w:p>
    <w:p>
      <w:pPr>
        <w:spacing w:line="360" w:after="210" w:lineRule="auto"/>
      </w:pPr>
      <w:r>
        <w:rPr>
          <w:rFonts w:eastAsia="georgia" w:cs="georgia" w:ascii="georgia" w:hAnsi="georgia"/>
          <w:color w:val="000000"/>
        </w:rPr>
        <w:t xml:space="preserve">This document reorganizes the attached lecture roadmap into a cleaner working reference for slide-building and speaking notes. It extracts, for each segment, the sources, data points, charts, and tables already mentioned in the draft so they can be used more systematically.[file:1]</w:t>
      </w:r>
    </w:p>
    <w:p>
      <w:pPr>
        <w:spacing w:line="360" w:before="315" w:after="105" w:lineRule="auto"/>
        <w:ind w:left="-30"/>
        <w:jc w:val="left"/>
      </w:pPr>
      <w:bookmarkStart w:id="1" w:name="how_to_use_this_file"/>
      <w:r>
        <w:rPr>
          <w:rFonts w:eastAsia="georgia" w:cs="georgia" w:ascii="georgia" w:hAnsi="georgia"/>
          <w:b/>
          <w:color w:val="000000"/>
          <w:sz w:val="24"/>
        </w:rPr>
        <w:t xml:space="preserve">How to use this file</w:t>
      </w:r>
      <w:bookmarkEnd w:id="1"/>
    </w:p>
    <w:p>
      <w:pPr>
        <w:spacing w:line="360" w:after="210" w:lineRule="auto"/>
      </w:pPr>
      <w:r>
        <w:rPr>
          <w:rFonts w:eastAsia="georgia" w:cs="georgia" w:ascii="georgia" w:hAnsi="georgia"/>
          <w:color w:val="000000"/>
        </w:rPr>
        <w:t xml:space="preserve">For each segment below, the material is grouped into five buckets: data/statistics, charts/figures, tables to reproduce, visuals, and academic literature. The final column highlights the most useful addition to make under that segment in the original lecture draft: a table, a chart, a source note, or a brief retrieval instruction.[file:1]</w:t>
      </w:r>
    </w:p>
    <w:p>
      <w:pPr>
        <w:spacing w:line="360" w:before="315" w:after="105" w:lineRule="auto"/>
        <w:ind w:left="-30"/>
        <w:jc w:val="left"/>
      </w:pPr>
      <w:bookmarkStart w:id="2" w:name="day_1"/>
      <w:r>
        <w:rPr>
          <w:rFonts w:eastAsia="georgia" w:cs="georgia" w:ascii="georgia" w:hAnsi="georgia"/>
          <w:b/>
          <w:color w:val="000000"/>
          <w:sz w:val="24"/>
        </w:rPr>
        <w:t xml:space="preserve">Day 1</w:t>
      </w:r>
      <w:bookmarkEnd w:id="2"/>
    </w:p>
    <w:p>
      <w:pPr>
        <w:spacing w:line="360" w:before="315" w:after="105" w:lineRule="auto"/>
        <w:ind w:left="-30"/>
        <w:jc w:val="left"/>
      </w:pPr>
      <w:bookmarkStart w:id="3" w:name="segment_1_what_is_risk"/>
      <w:r>
        <w:rPr>
          <w:rFonts w:eastAsia="georgia" w:cs="georgia" w:ascii="georgia" w:hAnsi="georgia"/>
          <w:b/>
          <w:color w:val="000000"/>
          <w:sz w:val="24"/>
        </w:rPr>
        <w:t xml:space="preserve">Segment 1 — What is Risk?</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Reinhart and Rogoff, </w:t>
            </w:r>
            <w:r>
              <w:rPr>
                <w:rFonts w:eastAsia="georgia" w:cs="georgia" w:ascii="georgia" w:hAnsi="georgia"/>
                <w:i/>
                <w:color w:val="000000"/>
                <w:sz w:val="17"/>
              </w:rPr>
              <w:t xml:space="preserve">This Time is Different</w:t>
            </w:r>
            <w:r>
              <w:rPr>
                <w:rFonts w:eastAsia="helvetica neue" w:cs="helvetica neue" w:ascii="helvetica neue" w:hAnsi="helvetica neue"/>
                <w:color w:val="000000"/>
                <w:sz w:val="17"/>
              </w:rPr>
              <w:t xml:space="preserve"> (2009)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70+ sovereign default episodes over 1800–2008 globally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line: “Optional empirical hook: long-run sovereign default frequency to show risk is persistent, not exceptional.”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Kahneman and Tversky (1979), Figure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Prospect-theory value function, showing loss aversion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“Insert Figure 3 from </w:t>
            </w:r>
            <w:r>
              <w:rPr>
                <w:rFonts w:eastAsia="georgia" w:cs="georgia" w:ascii="georgia" w:hAnsi="georgia"/>
                <w:i/>
                <w:color w:val="000000"/>
                <w:sz w:val="17"/>
              </w:rPr>
              <w:t xml:space="preserve">Econometrica</w:t>
            </w:r>
            <w:r>
              <w:rPr>
                <w:rFonts w:eastAsia="helvetica neue" w:cs="helvetica neue" w:ascii="helvetica neue" w:hAnsi="helvetica neue"/>
                <w:color w:val="000000"/>
                <w:sz w:val="17"/>
              </w:rPr>
              <w:t xml:space="preserve"> to visually introduce asymmetric risk perception.”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Knight (1921), Part III, Ch. VII–VIII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Basis for a 2×2 distinction between measurable risk and uncertainty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small 2×2 table titled “Risk vs Uncertainty.”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Library of Congress; Princeton / Hebrew University archives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Portraits of Knight, Kahneman, and Tversky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note identifying these as optional opening visuals.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Knight (1921); Kahneman and Tversky (1979); Taleb (2007); Markowitz (1952)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Conceptual and theoretical anchors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“Core readings” sub-bullet under the segment. [file:1]</w:t>
            </w:r>
          </w:p>
        </w:tc>
      </w:tr>
    </w:tbl>
    <w:p>
      <w:pPr>
        <w:spacing w:lineRule="auto"/>
      </w:pPr>
    </w:p>
    <w:p>
      <w:pPr>
        <w:spacing w:line="360" w:before="315" w:after="105" w:lineRule="auto"/>
        <w:ind w:left="-30"/>
        <w:jc w:val="left"/>
      </w:pPr>
      <w:bookmarkStart w:id="4" w:name="segment_2_non_economic_risks"/>
      <w:r>
        <w:rPr>
          <w:rFonts w:eastAsia="georgia" w:cs="georgia" w:ascii="georgia" w:hAnsi="georgia"/>
          <w:b/>
          <w:color w:val="000000"/>
          <w:sz w:val="24"/>
        </w:rPr>
        <w:t xml:space="preserve">Segment 2 — Non-Economic Risks</w:t>
      </w:r>
      <w:bookmarkEnd w:id="4"/>
    </w:p>
    <w:p>
      <w:pPr>
        <w:spacing w:line="360" w:before="315" w:after="105" w:lineRule="auto"/>
        <w:ind w:left="-30"/>
        <w:jc w:val="left"/>
      </w:pPr>
      <w:bookmarkStart w:id="5" w:name="a_cyber_risk"/>
      <w:r>
        <w:rPr>
          <w:rFonts w:eastAsia="georgia" w:cs="georgia" w:ascii="georgia" w:hAnsi="georgia"/>
          <w:b/>
          <w:color w:val="000000"/>
          <w:sz w:val="24"/>
        </w:rPr>
        <w:t xml:space="preserve">A. Cyber Risk</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NCRB, </w:t>
            </w:r>
            <w:r>
              <w:rPr>
                <w:rFonts w:eastAsia="georgia" w:cs="georgia" w:ascii="georgia" w:hAnsi="georgia"/>
                <w:i/>
                <w:color w:val="000000"/>
                <w:sz w:val="17"/>
              </w:rPr>
              <w:t xml:space="preserve">Crime in India 2022</w:t>
            </w:r>
            <w:r>
              <w:rPr>
                <w:rFonts w:eastAsia="helvetica neue" w:cs="helvetica neue" w:ascii="helvetica neue" w:hAnsi="helvetica neue"/>
                <w:color w:val="000000"/>
                <w:sz w:val="17"/>
              </w:rPr>
              <w:t xml:space="preserve">, Vol. II, Ch. 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Cyber-crime cases, growth over 2021, fraud share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compact 2021–2022 comparison table for cyber-crime cases and fraud share.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CERT-In, </w:t>
            </w:r>
            <w:r>
              <w:rPr>
                <w:rFonts w:eastAsia="georgia" w:cs="georgia" w:ascii="georgia" w:hAnsi="georgia"/>
                <w:i/>
                <w:color w:val="000000"/>
                <w:sz w:val="17"/>
              </w:rPr>
              <w:t xml:space="preserve">India Ransomware Report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YoY growth in ransomware attacks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bullet with the 51% increase statistic.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AIIMS Delhi cyberattack reporting via CERT-In / Delhi Police IFSO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Servers affected, records compromised, ransom claim, malware types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boxed case-study note titled “AIIMS Delhi, Nov 2022.”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2023–24, Ch. VIII; RBI fraud reports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Banking / digital fraud breakdown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line directing you to the “Frauds reported by banks — category-wise”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NCRB state-wise cybercrime distribution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 concentration of cybercrime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“State-wise cybercrime map or bar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CERT-In Annual Report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Incident-category distribution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“Phishing / intrusion / ransomware composition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Bouveret (2018); Rajagopalan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Framework and India-specific vulnerability commentary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short “Further reading” bullet. [file:1]</w:t>
            </w:r>
          </w:p>
        </w:tc>
      </w:tr>
    </w:tbl>
    <w:p>
      <w:pPr>
        <w:spacing w:lineRule="auto"/>
      </w:pPr>
    </w:p>
    <w:p>
      <w:pPr>
        <w:spacing w:line="360" w:before="315" w:after="105" w:lineRule="auto"/>
        <w:ind w:left="-30"/>
        <w:jc w:val="left"/>
      </w:pPr>
      <w:bookmarkStart w:id="6" w:name="b_covid_19_as_a_tail_event"/>
      <w:r>
        <w:rPr>
          <w:rFonts w:eastAsia="georgia" w:cs="georgia" w:ascii="georgia" w:hAnsi="georgia"/>
          <w:b/>
          <w:color w:val="000000"/>
          <w:sz w:val="24"/>
        </w:rPr>
        <w:t xml:space="preserve">B. COVID-19 as a Tail Event</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IMF WEO April 2020, Ch.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Sharp downward revisions to India growth forecasts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chart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three-point forecast revision line: Jan 2020, Apr 2020, June 2020.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NSO First Revised Estimate FY21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Actual FY21 contraction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the FY21 real GDP contraction as the outcome line.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2020–21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Rise in forex reserves from March 2020 to March 2021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note connecting crisis shock to reserve accumulation.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IMF Figure 1.1, “The Great Lockdown”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downgrade visual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this as the backdrop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External Sector chapter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Monthly reserves series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reserves chart directly below the GDP forecast line.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Eichenbaum et al. (2021); Beirne et al. (2020); Goyal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 and financial interpretation of pandemic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“Why this matters” reference block. [file:1]</w:t>
            </w:r>
          </w:p>
        </w:tc>
      </w:tr>
    </w:tbl>
    <w:p>
      <w:pPr>
        <w:spacing w:lineRule="auto"/>
      </w:pPr>
    </w:p>
    <w:p>
      <w:pPr>
        <w:spacing w:line="360" w:before="315" w:after="105" w:lineRule="auto"/>
        <w:ind w:left="-30"/>
        <w:jc w:val="left"/>
      </w:pPr>
      <w:bookmarkStart w:id="7" w:name="c_9_11_as_a_black_swan"/>
      <w:r>
        <w:rPr>
          <w:rFonts w:eastAsia="georgia" w:cs="georgia" w:ascii="georgia" w:hAnsi="georgia"/>
          <w:b/>
          <w:color w:val="000000"/>
          <w:sz w:val="24"/>
        </w:rPr>
        <w:t xml:space="preserve">C. 9/11 as a Black Swan</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Swiss Re Sigma 1/2002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Insured loss estimates for 9/11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the insured-loss statistic with a note that it was the largest man-made insured event at the time.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BIS Annual Report 2001/02, Ch. VII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Financial-market dislocation and liquidity response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sentence on money-market stress and Fed facilities.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Swiss Re Sigma 1/2002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Event-loss comparisons, 1970–2001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historical loss-comparison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Taleb (2007); Bram, Orr, and Rapaport (2002)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Black-swan framing and local economic effect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supporting references only. [file:1]</w:t>
            </w:r>
          </w:p>
        </w:tc>
      </w:tr>
    </w:tbl>
    <w:p>
      <w:pPr>
        <w:spacing w:lineRule="auto"/>
      </w:pPr>
    </w:p>
    <w:p>
      <w:pPr>
        <w:spacing w:line="360" w:before="315" w:after="105" w:lineRule="auto"/>
        <w:ind w:left="-30"/>
        <w:jc w:val="left"/>
      </w:pPr>
      <w:bookmarkStart w:id="8" w:name="d_climate_risk_in_india"/>
      <w:r>
        <w:rPr>
          <w:rFonts w:eastAsia="georgia" w:cs="georgia" w:ascii="georgia" w:hAnsi="georgia"/>
          <w:b/>
          <w:color w:val="000000"/>
          <w:sz w:val="24"/>
        </w:rPr>
        <w:t xml:space="preserve">D. Climate Risk in India</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IMD Annual Climate Summary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Temperature anomaly and extreme-weather casualties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two-number climate risk fact box.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NDMA / NIDM disaster reports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Disaster losses as share of GDP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 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placeholder line to retrieve annual disaster-loss series.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World Bank CCDR India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Heat-stress GDP-loss estimate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the 2030 labour-hour loss estimate.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General Insurance Council / Chennai floods 2015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Rainfall shock and insurance payout magnitude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mini case box on Chennai floods.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IMD annual temperature anomaly series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Long-run warming trend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“temperature anomaly 1901–latest”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NDMA Disaster Risk Index of Indian States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Hazard exposure rankings by 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ranked state table under the segment.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Burgess et al. (2017); Somanathan et al. (2021)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Mortality and productivity effects of climate stress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brief “economic channels” reading note. [file:1]</w:t>
            </w:r>
          </w:p>
        </w:tc>
      </w:tr>
    </w:tbl>
    <w:p>
      <w:pPr>
        <w:spacing w:lineRule="auto"/>
      </w:pPr>
    </w:p>
    <w:p>
      <w:pPr>
        <w:spacing w:line="360" w:before="315" w:after="105" w:lineRule="auto"/>
        <w:ind w:left="-30"/>
        <w:jc w:val="left"/>
      </w:pPr>
      <w:bookmarkStart w:id="9" w:name="segment_3_economic_risk_at_the_in_67e1d1"/>
      <w:r>
        <w:rPr>
          <w:rFonts w:eastAsia="georgia" w:cs="georgia" w:ascii="georgia" w:hAnsi="georgia"/>
          <w:b/>
          <w:color w:val="000000"/>
          <w:sz w:val="24"/>
        </w:rPr>
        <w:t xml:space="preserve">Segment 3 — Economic Risk at the Individual Level</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IRDAI Annual Report 2023–24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Insurance penetration, density, total premiums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small India-vs-world comparison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IRDAI AR 2023–24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Life-insurer profitability and non-life premium growth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secondary industry-health bullet.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Swiss Re Sigma 3/2024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International insurance benchmarking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“global context” source note.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NHA PM-JAY dashboard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Hospital admissions, cards, claims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state-wise PM-JAY extraction note.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FSR June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Household savings decline and net financial savings fall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“what remains uninsured?” data bullet on household balance sheets.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IRDAI penetration trend FY01–FY24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Long-run insurance deepening / stagnation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insurance-penetration trend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FSR June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Household financial assets vs liabilities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directly after discussion of non-insurable risks.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IRDAI Table 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India vs global penetration and density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exact table reference below the segment.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Arrow (1963); Rothschild and Stiglitz (1976); PM-JAY papers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Insurance theory and India health-insurance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short “theory + India application” block. [file:1]</w:t>
            </w:r>
          </w:p>
        </w:tc>
      </w:tr>
    </w:tbl>
    <w:p>
      <w:pPr>
        <w:spacing w:lineRule="auto"/>
      </w:pPr>
    </w:p>
    <w:p>
      <w:pPr>
        <w:spacing w:line="360" w:before="315" w:after="105" w:lineRule="auto"/>
        <w:ind w:left="-30"/>
        <w:jc w:val="left"/>
      </w:pPr>
      <w:bookmarkStart w:id="10" w:name="segment_4_economic_risk_at_the_fi_58165d"/>
      <w:r>
        <w:rPr>
          <w:rFonts w:eastAsia="georgia" w:cs="georgia" w:ascii="georgia" w:hAnsi="georgia"/>
          <w:b/>
          <w:color w:val="000000"/>
          <w:sz w:val="24"/>
        </w:rPr>
        <w:t xml:space="preserve">Segment 4 — Economic Risk at the Firm / Society Level</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BIS Triennial Survey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OTC derivatives notional and market 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size-of-market bullet to show scale of risk transfer.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BIS Quarterly Review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CDS market rise and post-GFC decline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pre- and post-crisis CDS comparison bullet.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SEBI Handbook 2023 / Annual Report 2023–24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Outstanding corporate bonds in India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corporate-bond-market size as domestic context.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FSR Dec 2018; MCA filings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IL&amp;FS debt at default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IL&amp;FS case box.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Bank Reconstruction Scheme 2020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AT1 write-down and SBI infusion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Yes Bank case box with two numbers.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BIS OTC derivatives series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notional outstanding over 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long-run derivatives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FSR June 2019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Bilateral exposures among financial institutions; NBFC GNPA / CRAR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contagion visual under the Indian examples bullet.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SEBI issuance split; RBI FSR NBFC aggregates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Public vs private bond issuance; pre/post IL&amp;FS indicators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table on bond issuance structure and one on NBFC stress.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Stulz (2010); McDonald and Paulson (2015); Acharya et 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CDS/AIG logic and Indian shadow banking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“from hedge to hazard” reading line. [file:1]</w:t>
            </w:r>
          </w:p>
        </w:tc>
      </w:tr>
    </w:tbl>
    <w:p>
      <w:pPr>
        <w:spacing w:lineRule="auto"/>
      </w:pPr>
    </w:p>
    <w:p>
      <w:pPr>
        <w:spacing w:line="360" w:before="315" w:after="105" w:lineRule="auto"/>
        <w:ind w:left="-30"/>
        <w:jc w:val="left"/>
      </w:pPr>
      <w:bookmarkStart w:id="11" w:name="segment_5_systemic_macro_layer"/>
      <w:r>
        <w:rPr>
          <w:rFonts w:eastAsia="georgia" w:cs="georgia" w:ascii="georgia" w:hAnsi="georgia"/>
          <w:b/>
          <w:color w:val="000000"/>
          <w:sz w:val="24"/>
        </w:rPr>
        <w:t xml:space="preserve">Segment 5 — Systemic / Macro Layer</w:t>
      </w:r>
      <w:bookmarkEnd w:id="11"/>
    </w:p>
    <w:p>
      <w:pPr>
        <w:spacing w:line="360" w:before="315" w:after="105" w:lineRule="auto"/>
        <w:ind w:left="-30"/>
        <w:jc w:val="left"/>
      </w:pPr>
      <w:bookmarkStart w:id="12" w:name="a_monsoon_dependency"/>
      <w:r>
        <w:rPr>
          <w:rFonts w:eastAsia="georgia" w:cs="georgia" w:ascii="georgia" w:hAnsi="georgia"/>
          <w:b/>
          <w:color w:val="000000"/>
          <w:sz w:val="24"/>
        </w:rPr>
        <w:t xml:space="preserve">A. Monsoon Dependency</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Gadgil and Gadgil (2006)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 drought impact on GDP over 1951–2003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 / 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historical-statistic bullet.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IMD long-range forecast updates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Seasonal rainfall vs LPA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latest monsoon comparison line.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Economic Survey 2024–25 citing PLFS 2023–24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Agriculture employment share vs GVA share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two-column “employment vs output” contrast.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Gadgil and Gadgil figures 2c, 2d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Monsoon anomaly vs GDP / foodgrain production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of the EPW figures.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Rainfall vs Kharif sowing 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current India application.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IMD seasonal rainfall record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 historical rainfall record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retrieval note for 1901–latest annual series.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Gadgil and Gadgil (2006); Krishnamurthy and Shukla (2000)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Monsoon dependence and variability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brief monsoon-literature line. [file:1]</w:t>
            </w:r>
          </w:p>
        </w:tc>
      </w:tr>
    </w:tbl>
    <w:p>
      <w:pPr>
        <w:spacing w:lineRule="auto"/>
      </w:pPr>
    </w:p>
    <w:p>
      <w:pPr>
        <w:spacing w:line="360" w:before="315" w:after="105" w:lineRule="auto"/>
        <w:ind w:left="-30"/>
        <w:jc w:val="left"/>
      </w:pPr>
      <w:bookmarkStart w:id="13" w:name="b_inflation_as_two_sided_risk"/>
      <w:r>
        <w:rPr>
          <w:rFonts w:eastAsia="georgia" w:cs="georgia" w:ascii="georgia" w:hAnsi="georgia"/>
          <w:b/>
          <w:color w:val="000000"/>
          <w:sz w:val="24"/>
        </w:rPr>
        <w:t xml:space="preserve">B. Inflation as Two-Sided Risk</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Act / Section 45ZA; 2021 renewal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Inflation-targeting framework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legal-institutional one-liner under this segment.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Monetary Policy Report October 2025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FY26 inflation, growth, repo, stance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latest policy snapshot box.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MPR October 2025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CPI vs target band; projection fan 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historical band chart and one forecast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Urjit Patel Committee Report (2014)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Recommended glide path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simple glide-path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(2014); Framework Agreement (2015); Mohan and Ray (2018); Gupta and Sengupta (2014)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Institutional and analytical background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“policy architecture” references. [file:1]</w:t>
            </w:r>
          </w:p>
        </w:tc>
      </w:tr>
    </w:tbl>
    <w:p>
      <w:pPr>
        <w:spacing w:lineRule="auto"/>
      </w:pPr>
    </w:p>
    <w:p>
      <w:pPr>
        <w:spacing w:line="360" w:before="315" w:after="105" w:lineRule="auto"/>
        <w:ind w:left="-30"/>
        <w:jc w:val="left"/>
      </w:pPr>
      <w:bookmarkStart w:id="14" w:name="c_government_policy_risk_demonetisation"/>
      <w:r>
        <w:rPr>
          <w:rFonts w:eastAsia="georgia" w:cs="georgia" w:ascii="georgia" w:hAnsi="georgia"/>
          <w:b/>
          <w:color w:val="000000"/>
          <w:sz w:val="24"/>
        </w:rPr>
        <w:t xml:space="preserve">C. Government Policy Risk — Demonetisation</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Demonetisation announcement and RBI annual reports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Currency share affected and SBN return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two-line “shock magnitude” fact box.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Chodorow-Reich et al. (2020)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Estimated short-run effects on output, employment, and credit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 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the 2 percentage-point effect estimate with correct wording.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Chodorow-Reich et al., Figure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Pre-demonetisation share of large-denomination notes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the anchor visual.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2017–18, Box 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SBN deposits, printing, denomination split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exact table citation under the segment.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ATM queues; PM address screenshot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Human and policy image pair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hook visuals only.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Chodorow-Reich et al.; Banerjee and Kala; Krishnan and Siegel; RBI AR 2016–17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Causal and descriptive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“recommended reading” note. [file:1]</w:t>
            </w:r>
          </w:p>
        </w:tc>
      </w:tr>
    </w:tbl>
    <w:p>
      <w:pPr>
        <w:spacing w:lineRule="auto"/>
      </w:pPr>
    </w:p>
    <w:p>
      <w:pPr>
        <w:spacing w:line="360" w:before="315" w:after="105" w:lineRule="auto"/>
        <w:ind w:left="-30"/>
        <w:jc w:val="left"/>
      </w:pPr>
      <w:bookmarkStart w:id="15" w:name="segment_6_national_level_risk"/>
      <w:r>
        <w:rPr>
          <w:rFonts w:eastAsia="georgia" w:cs="georgia" w:ascii="georgia" w:hAnsi="georgia"/>
          <w:b/>
          <w:color w:val="000000"/>
          <w:sz w:val="24"/>
        </w:rPr>
        <w:t xml:space="preserve">Segment 6 — National-Level Risk</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PPAC Snapshot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Crude-oil import dependence over recent years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short time-series bullet for import dependence.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Handbook of Statistics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Fiscal deficit, current account, exchange-rate series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 tables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the exact HBS table numbers directly under the segment.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Sovereign-rating updates as of May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external credibility / market perception indicators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3-row sovereign-ratings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HBS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Gross fiscal deficit as percent of GDP; CAD as percent of GDP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both historical macro-risk charts.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IMF Article IV 25/054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REER vs peers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external-sector assessment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HBS Table 234; IMF Selected Economic Indicators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Combined fiscal deficit and macro indicators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domestic time-series table and one current macro snapshot.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Reinhart and Rogoff; IMF (2025)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Sovereign-risk interpretation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note linking India’s macro risks to sovereign vulnerability concepts. [file:1]</w:t>
            </w:r>
          </w:p>
        </w:tc>
      </w:tr>
    </w:tbl>
    <w:p>
      <w:pPr>
        <w:spacing w:lineRule="auto"/>
      </w:pPr>
    </w:p>
    <w:p>
      <w:pPr>
        <w:spacing w:line="360" w:before="315" w:after="105" w:lineRule="auto"/>
        <w:ind w:left="-30"/>
        <w:jc w:val="left"/>
      </w:pPr>
      <w:bookmarkStart w:id="16" w:name="day_2"/>
      <w:r>
        <w:rPr>
          <w:rFonts w:eastAsia="georgia" w:cs="georgia" w:ascii="georgia" w:hAnsi="georgia"/>
          <w:b/>
          <w:color w:val="000000"/>
          <w:sz w:val="24"/>
        </w:rPr>
        <w:t xml:space="preserve">Day 2</w:t>
      </w:r>
      <w:bookmarkEnd w:id="16"/>
    </w:p>
    <w:p>
      <w:pPr>
        <w:spacing w:line="360" w:before="315" w:after="105" w:lineRule="auto"/>
        <w:ind w:left="-30"/>
        <w:jc w:val="left"/>
      </w:pPr>
      <w:bookmarkStart w:id="17" w:name="segment_7_recap_and_forex_basics"/>
      <w:r>
        <w:rPr>
          <w:rFonts w:eastAsia="georgia" w:cs="georgia" w:ascii="georgia" w:hAnsi="georgia"/>
          <w:b/>
          <w:color w:val="000000"/>
          <w:sz w:val="24"/>
        </w:rPr>
        <w:t xml:space="preserve">Segment 7 — Recap and Forex Basics</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Weekly Statistical Supplement Table 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 reserve composition and reserve 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latest-number reserve snapshot.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BoP press releases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Quarterly current and capital account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note to reproduce the quarterly BoP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DPIIT FDI fact sheet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Source-country and sector FDI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table for top investor countries.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 WESP Monthly Briefing 196; World Bank MDB 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Latest remittance estimate for India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“India as top remittance recipient” statistic.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Reserves composition stacked 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the first forex visual.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World Bank Migration Brief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Top remittance-receiving countries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for quick global context.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Reddy (2002); Rangarajan Committee (1993); BPM6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forex and BoP framework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“foundational references” line. [file:1]</w:t>
            </w:r>
          </w:p>
        </w:tc>
      </w:tr>
    </w:tbl>
    <w:p>
      <w:pPr>
        <w:spacing w:lineRule="auto"/>
      </w:pPr>
    </w:p>
    <w:p>
      <w:pPr>
        <w:spacing w:line="360" w:before="315" w:after="105" w:lineRule="auto"/>
        <w:ind w:left="-30"/>
        <w:jc w:val="left"/>
      </w:pPr>
      <w:bookmarkStart w:id="18" w:name="segment_8_case_studies_in_capital_flows"/>
      <w:r>
        <w:rPr>
          <w:rFonts w:eastAsia="georgia" w:cs="georgia" w:ascii="georgia" w:hAnsi="georgia"/>
          <w:b/>
          <w:color w:val="000000"/>
          <w:sz w:val="24"/>
        </w:rPr>
        <w:t xml:space="preserve">Segment 8 — Case Studies in Capital Flows</w:t>
      </w:r>
      <w:bookmarkEnd w:id="18"/>
    </w:p>
    <w:p>
      <w:pPr>
        <w:spacing w:line="360" w:before="315" w:after="105" w:lineRule="auto"/>
        <w:ind w:left="-30"/>
        <w:jc w:val="left"/>
      </w:pPr>
      <w:bookmarkStart w:id="19" w:name="a_1991_bop_crisis"/>
      <w:r>
        <w:rPr>
          <w:rFonts w:eastAsia="georgia" w:cs="georgia" w:ascii="georgia" w:hAnsi="georgia"/>
          <w:b/>
          <w:color w:val="000000"/>
          <w:sz w:val="24"/>
        </w:rPr>
        <w:t xml:space="preserve">A. 1991 BoP Crisis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1990–91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Reserves and import cover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“crisis in one glance” fact box.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Historical accounts on gold pledge and IMF program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Gold pledge quantities and emergency financing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3-line crisis chronology.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Joshi and Little; CAD / fiscal figures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Structural macro backdrop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“why it happened” bullet list with fiscal and CAD numbers.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currency and finance reports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Reserves and import cover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historical reserves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1990–91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BoP components and reserve drawdown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exact table retrieval note.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Joshi and Little; Cerra and Saxena; Ahluwalia; Acharya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scholarly accounts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“core readings on 1991” sub-list. [file:1]</w:t>
            </w:r>
          </w:p>
        </w:tc>
      </w:tr>
    </w:tbl>
    <w:p>
      <w:pPr>
        <w:spacing w:lineRule="auto"/>
      </w:pPr>
    </w:p>
    <w:p>
      <w:pPr>
        <w:spacing w:line="360" w:before="315" w:after="105" w:lineRule="auto"/>
        <w:ind w:left="-30"/>
        <w:jc w:val="left"/>
      </w:pPr>
      <w:bookmarkStart w:id="20" w:name="b_2003_04_india_shining_and_mss"/>
      <w:r>
        <w:rPr>
          <w:rFonts w:eastAsia="georgia" w:cs="georgia" w:ascii="georgia" w:hAnsi="georgia"/>
          <w:b/>
          <w:color w:val="000000"/>
          <w:sz w:val="24"/>
        </w:rPr>
        <w:t xml:space="preserve">B. 2003–04 India Shining and MSS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2003–04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FII inflows and rupee appreciation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inflow and exchange-rate pair of numbers.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MoU launching MSS; RBI WSS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Sterilisation mechanism and outstanding stock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line explaining why MSS was introduced.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Shah and Patnaik (2008), Figure 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Intervention vs sterilisation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the core explanatory visual.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2003–04; RBI WSS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Capital account components; MSS stock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references to both tables directly below the segment.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Patnaik and Shah; Mohan; Mohanty; Reddy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Capital-flow management and impossible trinity context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“policy-management readings.” [file:1]</w:t>
            </w:r>
          </w:p>
        </w:tc>
      </w:tr>
    </w:tbl>
    <w:p>
      <w:pPr>
        <w:spacing w:lineRule="auto"/>
      </w:pPr>
    </w:p>
    <w:p>
      <w:pPr>
        <w:spacing w:line="360" w:before="315" w:after="105" w:lineRule="auto"/>
        <w:ind w:left="-30"/>
        <w:jc w:val="left"/>
      </w:pPr>
      <w:bookmarkStart w:id="21" w:name="c_2007_08_global_financial_crisis_a61400"/>
      <w:r>
        <w:rPr>
          <w:rFonts w:eastAsia="georgia" w:cs="georgia" w:ascii="georgia" w:hAnsi="georgia"/>
          <w:b/>
          <w:color w:val="000000"/>
          <w:sz w:val="24"/>
        </w:rPr>
        <w:t xml:space="preserve">C. 2007–08 Global Financial Crisis and India</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2008–09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GDP slowdown and CAD increase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macro-impact bullet.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Subbarao speech, Feb 18 2009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Trade openness and capital-inflow dependence quote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quoted line for narration.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BIS Quarterly Review March 2009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 capital flow reversals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as external shock evidence.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AR 2008–09; BIS QR; IMF GFSR 2009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GDP, capital flows, and global deleveraging visuals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3-chart sequence if time permits.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statistical appendix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Policy actions Sept 2008–Mar 2009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policy-response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Subbarao speeches; Mohan (2009); Acharya and Schnabl (2010)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Primary-source interpretation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“named primary sources” subheading. [file:1]</w:t>
            </w:r>
          </w:p>
        </w:tc>
      </w:tr>
    </w:tbl>
    <w:p>
      <w:pPr>
        <w:spacing w:lineRule="auto"/>
      </w:pPr>
    </w:p>
    <w:p>
      <w:pPr>
        <w:spacing w:line="360" w:before="315" w:after="105" w:lineRule="auto"/>
        <w:ind w:left="-30"/>
        <w:jc w:val="left"/>
      </w:pPr>
      <w:bookmarkStart w:id="22" w:name="d_2013_taper_tantrum"/>
      <w:r>
        <w:rPr>
          <w:rFonts w:eastAsia="georgia" w:cs="georgia" w:ascii="georgia" w:hAnsi="georgia"/>
          <w:b/>
          <w:color w:val="000000"/>
          <w:sz w:val="24"/>
        </w:rPr>
        <w:t xml:space="preserve">D. 2013 Taper Tantrum</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2013–14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Rupee fall, FII flows, FCNR(B) outcomes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three-number crisis summary.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Morgan Stanley / later academic renderings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“Fragile Five” framing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note that Eichengreen and Gupta is preferable for academic use.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AR 2013–14; BIS QR Sep 2013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Rupee depreciation and EM tightening visuals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rupee chart plus EM-bond-yield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Annual Report 2013–14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FCNR(B) swap window outcomes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exact table reference.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Eichengreen and Gupta (2015); Rajan (2014); Mishra et al. (2014)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Academic treatment of taper effects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“analytical sources” line. [file:1]</w:t>
            </w:r>
          </w:p>
        </w:tc>
      </w:tr>
    </w:tbl>
    <w:p>
      <w:pPr>
        <w:spacing w:lineRule="auto"/>
      </w:pPr>
    </w:p>
    <w:p>
      <w:pPr>
        <w:spacing w:line="360" w:before="315" w:after="105" w:lineRule="auto"/>
        <w:ind w:left="-30"/>
        <w:jc w:val="left"/>
      </w:pPr>
      <w:bookmarkStart w:id="23" w:name="e_covid_19_forex_impact"/>
      <w:r>
        <w:rPr>
          <w:rFonts w:eastAsia="georgia" w:cs="georgia" w:ascii="georgia" w:hAnsi="georgia"/>
          <w:b/>
          <w:color w:val="000000"/>
          <w:sz w:val="24"/>
        </w:rPr>
        <w:t xml:space="preserve">E. COVID-19 Forex Impact</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AR 2020–21; RBI FSR July 2021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Reserve accumulation, import cover, CAD surplus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reserve-buildup timeline.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IMF SDR allocation, Aug 2021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SDR boost to reserves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line on SDR allocation.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AR; RBI FSR; IMF Article IV 21/230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Reserve and adequacy visuals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reserve-level chart and adequacy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reports; IMF (2021); Patra et al.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Interpretation of pandemic-era capital flows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concise reading note. [file:1]</w:t>
            </w:r>
          </w:p>
        </w:tc>
      </w:tr>
    </w:tbl>
    <w:p>
      <w:pPr>
        <w:spacing w:lineRule="auto"/>
      </w:pPr>
    </w:p>
    <w:p>
      <w:pPr>
        <w:spacing w:line="360" w:before="315" w:after="105" w:lineRule="auto"/>
        <w:ind w:left="-30"/>
        <w:jc w:val="left"/>
      </w:pPr>
      <w:bookmarkStart w:id="24" w:name="f_russia_ukraine_and_discounted_crude"/>
      <w:r>
        <w:rPr>
          <w:rFonts w:eastAsia="georgia" w:cs="georgia" w:ascii="georgia" w:hAnsi="georgia"/>
          <w:b/>
          <w:color w:val="000000"/>
          <w:sz w:val="24"/>
        </w:rPr>
        <w:t xml:space="preserve">F. Russia–Ukraine and Discounted Crude</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Brent prices; EIA India brief; DGCI&amp;S study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Oil-price shock and Russia share in India imports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pre-war vs post-war import-share comparison.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IEA Oil Market Report June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Destination of Russian crude and Urals discount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the discount statistic and export-destination line.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India CAD figures FY22–FY23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 consequence for India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CAD-widening bullet.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IEA June 2023; PPAC; DGCI&amp;S Oct 2025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Russian exports by destination, discount series, import shares, CPI co-movement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international chart and one India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PPAC Snapshot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Country-wise crude-import shares over five years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5-year import-source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IEA; EIA; DGCI&amp;S; RBI Bulletin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Energy-shock interpretation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“energy risk sources” block. [file:1]</w:t>
            </w:r>
          </w:p>
        </w:tc>
      </w:tr>
    </w:tbl>
    <w:p>
      <w:pPr>
        <w:spacing w:lineRule="auto"/>
      </w:pPr>
    </w:p>
    <w:p>
      <w:pPr>
        <w:spacing w:line="360" w:before="315" w:after="105" w:lineRule="auto"/>
        <w:ind w:left="-30"/>
        <w:jc w:val="left"/>
      </w:pPr>
      <w:bookmarkStart w:id="25" w:name="g_current_period_mid_2026"/>
      <w:r>
        <w:rPr>
          <w:rFonts w:eastAsia="georgia" w:cs="georgia" w:ascii="georgia" w:hAnsi="georgia"/>
          <w:b/>
          <w:color w:val="000000"/>
          <w:sz w:val="24"/>
        </w:rPr>
        <w:t xml:space="preserve">G. Current Period — mid-2026</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IMF Country Report 25/054; IMF PR 25/392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growth, CAD, tariff assumptions, external position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“current macro dashboard” with 4–5 numbers.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MPR October 2025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NEER, REER, CAD, reserves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latest external-sector policy snapshot.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Governor April MPC remarks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rupee and reserves 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live-update line for May 2026 narration.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MPR October 2025; IMF Article IV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REER / NEER and external-sector visuals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current rupee-competitiveness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IMF Selected Economic Indicators; RBI Bulletin dashboard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macro indicators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compact latest-indicator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IMF (2025); RBI MPR October 2025; BIS Annual Economic Report 2025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external-risk framing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“live sources to update before lecture” note. [file:1]</w:t>
            </w:r>
          </w:p>
        </w:tc>
      </w:tr>
    </w:tbl>
    <w:p>
      <w:pPr>
        <w:spacing w:lineRule="auto"/>
      </w:pPr>
    </w:p>
    <w:p>
      <w:pPr>
        <w:spacing w:line="360" w:before="315" w:after="105" w:lineRule="auto"/>
        <w:ind w:left="-30"/>
        <w:jc w:val="left"/>
      </w:pPr>
      <w:bookmarkStart w:id="26" w:name="segment_9_is_rupee_depreciation_a_b5c39a"/>
      <w:r>
        <w:rPr>
          <w:rFonts w:eastAsia="georgia" w:cs="georgia" w:ascii="georgia" w:hAnsi="georgia"/>
          <w:b/>
          <w:color w:val="000000"/>
          <w:sz w:val="24"/>
        </w:rPr>
        <w:t xml:space="preserve">Segment 9 — Is Rupee Depreciation a Problem?</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REER / NEER tables and HBS Table 147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Exchange-rate indicators over 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explicit reference to annual and monthly REER / NEER tables.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Khundrakpam (2007); Kapur and Behera (2012)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Exchange-rate pass-through estimates for India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 / 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pass-through bullet with a range.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Bulletin; RBI MPR; BIS EER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India REER / NEER vs peers and through 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RBI chart and one BIS cross-check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HBS Table 147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REER / NEER annual averages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small summary table under the segment.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Khundrakpam; Kapur and Behera; Mohan; Ahmed et al.; Patnaik et 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Theory and India-specific implications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“exchange-rate mechanics” references. [file:1]</w:t>
            </w:r>
          </w:p>
        </w:tc>
      </w:tr>
    </w:tbl>
    <w:p>
      <w:pPr>
        <w:spacing w:lineRule="auto"/>
      </w:pPr>
    </w:p>
    <w:p>
      <w:pPr>
        <w:spacing w:line="360" w:before="315" w:after="105" w:lineRule="auto"/>
        <w:ind w:left="-30"/>
        <w:jc w:val="left"/>
      </w:pPr>
      <w:bookmarkStart w:id="27" w:name="segment_10_market_sterilisation_a_a9932c"/>
      <w:r>
        <w:rPr>
          <w:rFonts w:eastAsia="georgia" w:cs="georgia" w:ascii="georgia" w:hAnsi="georgia"/>
          <w:b/>
          <w:color w:val="000000"/>
          <w:sz w:val="24"/>
        </w:rPr>
        <w:t xml:space="preserve">Segment 10 — Market Sterilisation and the Impossible Trinity</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gives you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 to insert below the 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WSS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MSS outstanding stock and OMO operations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exact WSS references for MSS and OMOs.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HBS Table 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CRR history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CRR chronology note.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Aizenman-Chinn-Ito trilemma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Empirical trilemma positioning for India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note pointing to India’s trilemma index series.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Obstfeld, Shambaugh, and Taylor (2005); Aizenman and Ito (2013); Shah and Patnaik (2008)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Trilemma and sterilisation visuals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one conceptual chart and one India-specific chart.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RBI WSS; RBI HBS Table 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MSS / OMO operations and CRR profile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short operational-policy table.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Mundell (1963); Fleming (1962); Obstfeld et al.; Patnaik and Shah; Calvo (1998); Krugman (1979); Eichengreen and Gupta (2016)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Conceptual and crisis-management foundations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Speaking note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“core theory” reading block. [file:1]</w:t>
            </w:r>
          </w:p>
        </w:tc>
      </w:tr>
    </w:tbl>
    <w:p>
      <w:pPr>
        <w:spacing w:lineRule="auto"/>
      </w:pPr>
    </w:p>
    <w:p>
      <w:pPr>
        <w:spacing w:line="360" w:before="315" w:after="105" w:lineRule="auto"/>
        <w:ind w:left="-30"/>
        <w:jc w:val="left"/>
      </w:pPr>
      <w:bookmarkStart w:id="28" w:name="cross_cutting_additions"/>
      <w:r>
        <w:rPr>
          <w:rFonts w:eastAsia="georgia" w:cs="georgia" w:ascii="georgia" w:hAnsi="georgia"/>
          <w:b/>
          <w:color w:val="000000"/>
          <w:sz w:val="24"/>
        </w:rPr>
        <w:t xml:space="preserve">Cross-cutting additions</w:t>
      </w:r>
      <w:bookmarkEnd w:id="28"/>
    </w:p>
    <w:p>
      <w:pPr>
        <w:spacing w:line="360" w:after="210" w:lineRule="auto"/>
      </w:pPr>
      <w:r>
        <w:rPr>
          <w:rFonts w:eastAsia="georgia" w:cs="georgia" w:ascii="georgia" w:hAnsi="georgia"/>
          <w:color w:val="000000"/>
        </w:rPr>
        <w:t xml:space="preserve">The draft already includes a useful “Cross-Cutting Reference Works” and “Notes on source vintage and gaps” section. The most useful additions now are editorial rather than conceptual: add exact table names under each segment, mark which source is the primary one to pull first, and flag where multiple sources must be combined because a single clean table does not exist.[file:1]</w:t>
      </w:r>
    </w:p>
    <w:p>
      <w:pPr>
        <w:spacing w:line="360" w:before="315" w:after="105" w:lineRule="auto"/>
        <w:ind w:left="-30"/>
        <w:jc w:val="left"/>
      </w:pPr>
      <w:bookmarkStart w:id="29" w:name="recommended_edits_inside_the_orig_2f762b"/>
      <w:r>
        <w:rPr>
          <w:rFonts w:eastAsia="georgia" w:cs="georgia" w:ascii="georgia" w:hAnsi="georgia"/>
          <w:b/>
          <w:color w:val="000000"/>
          <w:sz w:val="24"/>
        </w:rPr>
        <w:t xml:space="preserve">Recommended edits inside the original lecture draft</w:t>
      </w:r>
      <w:bookmarkEnd w:id="29"/>
    </w:p>
    <w:p>
      <w:pPr>
        <w:numPr>
          <w:ilvl w:val="0"/>
          <w:numId w:val="1"/>
        </w:numPr>
        <w:spacing w:line="360" w:before="105" w:after="105" w:lineRule="auto"/>
      </w:pPr>
      <w:r>
        <w:rPr>
          <w:rFonts w:eastAsia="georgia" w:cs="georgia" w:ascii="georgia" w:hAnsi="georgia"/>
          <w:color w:val="000000"/>
          <w:sz w:val="21"/>
        </w:rPr>
        <w:t xml:space="preserve">Add a one-line </w:t>
      </w:r>
      <w:r>
        <w:rPr>
          <w:rFonts w:eastAsia="georgia" w:cs="georgia" w:ascii="georgia" w:hAnsi="georgia"/>
          <w:b/>
          <w:color w:val="000000"/>
          <w:sz w:val="21"/>
        </w:rPr>
        <w:t xml:space="preserve">Primary source to pull first</w:t>
      </w:r>
      <w:r>
        <w:rPr>
          <w:rFonts w:eastAsia="georgia" w:cs="georgia" w:ascii="georgia" w:hAnsi="georgia"/>
          <w:color w:val="000000"/>
          <w:sz w:val="21"/>
        </w:rPr>
        <w:t xml:space="preserve"> under every segment, because several segments currently list many sources but do not indicate retrieval priority.[file:1]</w:t>
      </w:r>
    </w:p>
    <w:p>
      <w:pPr>
        <w:numPr>
          <w:ilvl w:val="0"/>
          <w:numId w:val="1"/>
        </w:numPr>
        <w:spacing w:line="360" w:before="105" w:after="105" w:lineRule="auto"/>
      </w:pPr>
      <w:r>
        <w:rPr>
          <w:rFonts w:eastAsia="georgia" w:cs="georgia" w:ascii="georgia" w:hAnsi="georgia"/>
          <w:color w:val="000000"/>
          <w:sz w:val="21"/>
        </w:rPr>
        <w:t xml:space="preserve">Add a one-line </w:t>
      </w:r>
      <w:r>
        <w:rPr>
          <w:rFonts w:eastAsia="georgia" w:cs="georgia" w:ascii="georgia" w:hAnsi="georgia"/>
          <w:b/>
          <w:color w:val="000000"/>
          <w:sz w:val="21"/>
        </w:rPr>
        <w:t xml:space="preserve">Table / chart to reproduce</w:t>
      </w:r>
      <w:r>
        <w:rPr>
          <w:rFonts w:eastAsia="georgia" w:cs="georgia" w:ascii="georgia" w:hAnsi="georgia"/>
          <w:color w:val="000000"/>
          <w:sz w:val="21"/>
        </w:rPr>
        <w:t xml:space="preserve"> under every segment in a consistent format, since some sections already have this while others rely more loosely on narrative bullets.[file:1]</w:t>
      </w:r>
    </w:p>
    <w:p>
      <w:pPr>
        <w:numPr>
          <w:ilvl w:val="0"/>
          <w:numId w:val="1"/>
        </w:numPr>
        <w:spacing w:line="360" w:before="105" w:after="105" w:lineRule="auto"/>
      </w:pPr>
      <w:r>
        <w:rPr>
          <w:rFonts w:eastAsia="georgia" w:cs="georgia" w:ascii="georgia" w:hAnsi="georgia"/>
          <w:color w:val="000000"/>
          <w:sz w:val="21"/>
        </w:rPr>
        <w:t xml:space="preserve">Add a one-line </w:t>
      </w:r>
      <w:r>
        <w:rPr>
          <w:rFonts w:eastAsia="georgia" w:cs="georgia" w:ascii="georgia" w:hAnsi="georgia"/>
          <w:b/>
          <w:color w:val="000000"/>
          <w:sz w:val="21"/>
        </w:rPr>
        <w:t xml:space="preserve">Latest update needed before lecture</w:t>
      </w:r>
      <w:r>
        <w:rPr>
          <w:rFonts w:eastAsia="georgia" w:cs="georgia" w:ascii="georgia" w:hAnsi="georgia"/>
          <w:color w:val="000000"/>
          <w:sz w:val="21"/>
        </w:rPr>
        <w:t xml:space="preserve"> under time-sensitive segments such as Segment 6, Segment 7, Segment 8G, Segment 9, and Segment 10.[file:1]</w:t>
      </w:r>
    </w:p>
    <w:p>
      <w:pPr>
        <w:numPr>
          <w:ilvl w:val="0"/>
          <w:numId w:val="1"/>
        </w:numPr>
        <w:spacing w:line="360" w:before="105" w:after="105" w:lineRule="auto"/>
      </w:pPr>
      <w:r>
        <w:rPr>
          <w:rFonts w:eastAsia="georgia" w:cs="georgia" w:ascii="georgia" w:hAnsi="georgia"/>
          <w:color w:val="000000"/>
          <w:sz w:val="21"/>
        </w:rPr>
        <w:t xml:space="preserve">Add a one-line </w:t>
      </w:r>
      <w:r>
        <w:rPr>
          <w:rFonts w:eastAsia="georgia" w:cs="georgia" w:ascii="georgia" w:hAnsi="georgia"/>
          <w:b/>
          <w:color w:val="000000"/>
          <w:sz w:val="21"/>
        </w:rPr>
        <w:t xml:space="preserve">Single best academic citation</w:t>
      </w:r>
      <w:r>
        <w:rPr>
          <w:rFonts w:eastAsia="georgia" w:cs="georgia" w:ascii="georgia" w:hAnsi="georgia"/>
          <w:color w:val="000000"/>
          <w:sz w:val="21"/>
        </w:rPr>
        <w:t xml:space="preserve"> under each segment to make conversion into lecture notes or slides easier.[file:1]</w:t>
      </w:r>
    </w:p>
    <w:p>
      <w:pPr>
        <w:spacing w:line="360" w:before="315" w:after="105" w:lineRule="auto"/>
        <w:ind w:left="-30"/>
        <w:jc w:val="left"/>
      </w:pPr>
      <w:bookmarkStart w:id="30" w:name="priority_retrieval_list"/>
      <w:r>
        <w:rPr>
          <w:rFonts w:eastAsia="georgia" w:cs="georgia" w:ascii="georgia" w:hAnsi="georgia"/>
          <w:b/>
          <w:color w:val="000000"/>
          <w:sz w:val="24"/>
        </w:rPr>
        <w:t xml:space="preserve">Priority retrieval list</w:t>
      </w:r>
      <w:bookmarkEnd w:id="30"/>
    </w:p>
    <w:p>
      <w:pPr>
        <w:spacing w:line="360" w:after="210" w:lineRule="auto"/>
      </w:pPr>
      <w:r>
        <w:rPr>
          <w:rFonts w:eastAsia="georgia" w:cs="georgia" w:ascii="georgia" w:hAnsi="georgia"/>
          <w:color w:val="000000"/>
        </w:rPr>
        <w:t xml:space="preserve">If only the most important items are to be compiled first, start with these sources because they recur across multiple segments: RBI Handbook of Statistics, RBI Annual Report, RBI Monetary Policy Report, RBI Financial Stability Report, IMF India Article IV reports, IRDAI Annual Report 2023–24, SEBI Handbook of Statistics, IMD climate summaries, and PPAC oil snapshots.[file:1]</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2026-05-21T10:45:02.932Z</dcterms:created>
  <dcterms:modified xsi:type="dcterms:W3CDTF">2026-05-21T10:45:02.932Z</dcterms:modified>
</cp:coreProperties>
</file>