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Sources, Tables, and Data by Segment</w:t>
      </w:r>
    </w:p>
    <w:p>
      <w:pPr>
        <w:pStyle w:val="Heading2"/>
      </w:pPr>
      <w:r>
        <w:t>Segment 1 — What is Risk?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Reinhart and Rogoff, This Time is Different (2009)</w:t>
            </w:r>
          </w:p>
        </w:tc>
        <w:tc>
          <w:tcPr>
            <w:tcW w:type="dxa" w:w="1728"/>
          </w:tcPr>
          <w:p>
            <w:r>
              <w:t>70+ sovereign default episodes over 1800–2008 globally</w:t>
            </w:r>
          </w:p>
        </w:tc>
        <w:tc>
          <w:tcPr>
            <w:tcW w:type="dxa" w:w="1728"/>
          </w:tcPr>
          <w:p>
            <w:r>
              <w:t>Speaking note</w:t>
            </w:r>
          </w:p>
        </w:tc>
        <w:tc>
          <w:tcPr>
            <w:tcW w:type="dxa" w:w="1728"/>
          </w:tcPr>
          <w:p>
            <w:r>
              <w:t>Add one line: “Optional empirical hook: long-run sovereign default frequency to show risk is persistent, not exceptional.”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Knight (1921), Part III, Ch. VII–VIII</w:t>
            </w:r>
          </w:p>
        </w:tc>
        <w:tc>
          <w:tcPr>
            <w:tcW w:type="dxa" w:w="1728"/>
          </w:tcPr>
          <w:p>
            <w:r>
              <w:t>Basis for a 2×2 distinction between measurable risk and uncertainty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small 2×2 table titled “Risk vs Uncertainty.” [file:1]</w:t>
            </w:r>
          </w:p>
        </w:tc>
      </w:tr>
    </w:tbl>
    <w:p>
      <w:pPr>
        <w:pStyle w:val="Heading2"/>
      </w:pPr>
      <w:r>
        <w:t>Segment 2A — Cyber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NCRB, Crime in India 2022, Vol. II, Ch. 9</w:t>
            </w:r>
          </w:p>
        </w:tc>
        <w:tc>
          <w:tcPr>
            <w:tcW w:type="dxa" w:w="1728"/>
          </w:tcPr>
          <w:p>
            <w:r>
              <w:t>Cyber-crime cases, growth over 2021, fraud share</w:t>
            </w:r>
          </w:p>
        </w:tc>
        <w:tc>
          <w:tcPr>
            <w:tcW w:type="dxa" w:w="1728"/>
          </w:tcPr>
          <w:p>
            <w:r>
              <w:t>Slide table</w:t>
            </w:r>
          </w:p>
        </w:tc>
        <w:tc>
          <w:tcPr>
            <w:tcW w:type="dxa" w:w="1728"/>
          </w:tcPr>
          <w:p>
            <w:r>
              <w:t>Add a compact 2021–2022 comparison table for cyber-crime cases and fraud share.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CERT-In, India Ransomware Report 2022</w:t>
            </w:r>
          </w:p>
        </w:tc>
        <w:tc>
          <w:tcPr>
            <w:tcW w:type="dxa" w:w="1728"/>
          </w:tcPr>
          <w:p>
            <w:r>
              <w:t>YoY growth in ransomware attacks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bullet with the 51% increase statistic.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AIIMS Delhi cyberattack reporting via CERT-In / Delhi Police IFSO</w:t>
            </w:r>
          </w:p>
        </w:tc>
        <w:tc>
          <w:tcPr>
            <w:tcW w:type="dxa" w:w="1728"/>
          </w:tcPr>
          <w:p>
            <w:r>
              <w:t>Servers affected, records compromised, ransom claim, malware types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boxed case-study note titled “AIIMS Delhi, Nov 2022.”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Annual Report 2023–24, Ch. VIII; RBI fraud reports</w:t>
            </w:r>
          </w:p>
        </w:tc>
        <w:tc>
          <w:tcPr>
            <w:tcW w:type="dxa" w:w="1728"/>
          </w:tcPr>
          <w:p>
            <w:r>
              <w:t>Banking / digital fraud breakdown</w:t>
            </w:r>
          </w:p>
        </w:tc>
        <w:tc>
          <w:tcPr>
            <w:tcW w:type="dxa" w:w="1728"/>
          </w:tcPr>
          <w:p>
            <w:r>
              <w:t>Slide table</w:t>
            </w:r>
          </w:p>
        </w:tc>
        <w:tc>
          <w:tcPr>
            <w:tcW w:type="dxa" w:w="1728"/>
          </w:tcPr>
          <w:p>
            <w:r>
              <w:t>Add a line directing you to the “Frauds reported by banks — category-wise” table. [file:1]</w:t>
            </w:r>
          </w:p>
        </w:tc>
      </w:tr>
    </w:tbl>
    <w:p>
      <w:pPr>
        <w:pStyle w:val="Heading2"/>
      </w:pPr>
      <w:r>
        <w:t>Segment 2B — COVID-19 as a Tail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IMF WEO April 2020, Ch. 1</w:t>
            </w:r>
          </w:p>
        </w:tc>
        <w:tc>
          <w:tcPr>
            <w:tcW w:type="dxa" w:w="1728"/>
          </w:tcPr>
          <w:p>
            <w:r>
              <w:t>Sharp downward revisions to India growth forecasts</w:t>
            </w:r>
          </w:p>
        </w:tc>
        <w:tc>
          <w:tcPr>
            <w:tcW w:type="dxa" w:w="1728"/>
          </w:tcPr>
          <w:p>
            <w:r>
              <w:t>Slide chart</w:t>
            </w:r>
          </w:p>
        </w:tc>
        <w:tc>
          <w:tcPr>
            <w:tcW w:type="dxa" w:w="1728"/>
          </w:tcPr>
          <w:p>
            <w:r>
              <w:t>Add a three-point forecast revision line: Jan 2020, Apr 2020, June 2020.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NSO First Revised Estimate FY21</w:t>
            </w:r>
          </w:p>
        </w:tc>
        <w:tc>
          <w:tcPr>
            <w:tcW w:type="dxa" w:w="1728"/>
          </w:tcPr>
          <w:p>
            <w:r>
              <w:t>Actual FY21 contraction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the FY21 real GDP contraction as the outcome line.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Annual Report 2020–21</w:t>
            </w:r>
          </w:p>
        </w:tc>
        <w:tc>
          <w:tcPr>
            <w:tcW w:type="dxa" w:w="1728"/>
          </w:tcPr>
          <w:p>
            <w:r>
              <w:t>Rise in forex reserves from March 2020 to March 2021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note connecting crisis shock to reserve accumulation. [file:1]</w:t>
            </w:r>
          </w:p>
        </w:tc>
      </w:tr>
    </w:tbl>
    <w:p>
      <w:pPr>
        <w:pStyle w:val="Heading2"/>
      </w:pPr>
      <w:r>
        <w:t>Segment 2C — 9/11 as a Black Swan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Swiss Re Sigma 1/2002</w:t>
            </w:r>
          </w:p>
        </w:tc>
        <w:tc>
          <w:tcPr>
            <w:tcW w:type="dxa" w:w="1728"/>
          </w:tcPr>
          <w:p>
            <w:r>
              <w:t>Insured loss estimates for 9/11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the insured-loss statistic with a note that it was the largest man-made insured event at the time.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BIS Annual Report 2001/02, Ch. VII</w:t>
            </w:r>
          </w:p>
        </w:tc>
        <w:tc>
          <w:tcPr>
            <w:tcW w:type="dxa" w:w="1728"/>
          </w:tcPr>
          <w:p>
            <w:r>
              <w:t>Financial-market dislocation and liquidity response</w:t>
            </w:r>
          </w:p>
        </w:tc>
        <w:tc>
          <w:tcPr>
            <w:tcW w:type="dxa" w:w="1728"/>
          </w:tcPr>
          <w:p>
            <w:r>
              <w:t>Speaking note</w:t>
            </w:r>
          </w:p>
        </w:tc>
        <w:tc>
          <w:tcPr>
            <w:tcW w:type="dxa" w:w="1728"/>
          </w:tcPr>
          <w:p>
            <w:r>
              <w:t>Add one sentence on money-market stress and Fed facilities. [file:1]</w:t>
            </w:r>
          </w:p>
        </w:tc>
      </w:tr>
    </w:tbl>
    <w:p>
      <w:pPr>
        <w:pStyle w:val="Heading2"/>
      </w:pPr>
      <w:r>
        <w:t>Segment 2D — Climate Risk in India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IMD Annual Climate Summary 2023</w:t>
            </w:r>
          </w:p>
        </w:tc>
        <w:tc>
          <w:tcPr>
            <w:tcW w:type="dxa" w:w="1728"/>
          </w:tcPr>
          <w:p>
            <w:r>
              <w:t>Temperature anomaly and extreme-weather casualties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two-number climate risk fact box.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NDMA / NIDM disaster reports</w:t>
            </w:r>
          </w:p>
        </w:tc>
        <w:tc>
          <w:tcPr>
            <w:tcW w:type="dxa" w:w="1728"/>
          </w:tcPr>
          <w:p>
            <w:r>
              <w:t>Disaster losses as share of GDP</w:t>
            </w:r>
          </w:p>
        </w:tc>
        <w:tc>
          <w:tcPr>
            <w:tcW w:type="dxa" w:w="1728"/>
          </w:tcPr>
          <w:p>
            <w:r>
              <w:t>Slide / speaking note</w:t>
            </w:r>
          </w:p>
        </w:tc>
        <w:tc>
          <w:tcPr>
            <w:tcW w:type="dxa" w:w="1728"/>
          </w:tcPr>
          <w:p>
            <w:r>
              <w:t>Add a placeholder line to retrieve annual disaster-loss series.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World Bank CCDR India (2022)</w:t>
            </w:r>
          </w:p>
        </w:tc>
        <w:tc>
          <w:tcPr>
            <w:tcW w:type="dxa" w:w="1728"/>
          </w:tcPr>
          <w:p>
            <w:r>
              <w:t>Heat-stress GDP-loss estimate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the 2030 labour-hour loss estimate.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General Insurance Council / Chennai floods 2015</w:t>
            </w:r>
          </w:p>
        </w:tc>
        <w:tc>
          <w:tcPr>
            <w:tcW w:type="dxa" w:w="1728"/>
          </w:tcPr>
          <w:p>
            <w:r>
              <w:t>Rainfall shock and insurance payout magnitude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mini case box on Chennai floods.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NDMA Disaster Risk Index of Indian States</w:t>
            </w:r>
          </w:p>
        </w:tc>
        <w:tc>
          <w:tcPr>
            <w:tcW w:type="dxa" w:w="1728"/>
          </w:tcPr>
          <w:p>
            <w:r>
              <w:t>Hazard exposure rankings by state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ranked state table under the segment. [file:1]</w:t>
            </w:r>
          </w:p>
        </w:tc>
      </w:tr>
    </w:tbl>
    <w:p>
      <w:pPr>
        <w:pStyle w:val="Heading2"/>
      </w:pPr>
      <w:r>
        <w:t>Segment 3 — Economic Risk at the Individual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IRDAI Annual Report 2023–24</w:t>
            </w:r>
          </w:p>
        </w:tc>
        <w:tc>
          <w:tcPr>
            <w:tcW w:type="dxa" w:w="1728"/>
          </w:tcPr>
          <w:p>
            <w:r>
              <w:t>Insurance penetration, density, total premiums</w:t>
            </w:r>
          </w:p>
        </w:tc>
        <w:tc>
          <w:tcPr>
            <w:tcW w:type="dxa" w:w="1728"/>
          </w:tcPr>
          <w:p>
            <w:r>
              <w:t>Slide table</w:t>
            </w:r>
          </w:p>
        </w:tc>
        <w:tc>
          <w:tcPr>
            <w:tcW w:type="dxa" w:w="1728"/>
          </w:tcPr>
          <w:p>
            <w:r>
              <w:t>Add a small India-vs-world comparison table.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IRDAI AR 2023–24</w:t>
            </w:r>
          </w:p>
        </w:tc>
        <w:tc>
          <w:tcPr>
            <w:tcW w:type="dxa" w:w="1728"/>
          </w:tcPr>
          <w:p>
            <w:r>
              <w:t>Life-insurer profitability and non-life premium growth</w:t>
            </w:r>
          </w:p>
        </w:tc>
        <w:tc>
          <w:tcPr>
            <w:tcW w:type="dxa" w:w="1728"/>
          </w:tcPr>
          <w:p>
            <w:r>
              <w:t>Slide / note</w:t>
            </w:r>
          </w:p>
        </w:tc>
        <w:tc>
          <w:tcPr>
            <w:tcW w:type="dxa" w:w="1728"/>
          </w:tcPr>
          <w:p>
            <w:r>
              <w:t>Add as secondary industry-health bullet.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Swiss Re Sigma 3/2024</w:t>
            </w:r>
          </w:p>
        </w:tc>
        <w:tc>
          <w:tcPr>
            <w:tcW w:type="dxa" w:w="1728"/>
          </w:tcPr>
          <w:p>
            <w:r>
              <w:t>International insurance benchmarking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“global context” source note.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NHA PM-JAY dashboard</w:t>
            </w:r>
          </w:p>
        </w:tc>
        <w:tc>
          <w:tcPr>
            <w:tcW w:type="dxa" w:w="1728"/>
          </w:tcPr>
          <w:p>
            <w:r>
              <w:t>Hospital admissions, cards, claims</w:t>
            </w:r>
          </w:p>
        </w:tc>
        <w:tc>
          <w:tcPr>
            <w:tcW w:type="dxa" w:w="1728"/>
          </w:tcPr>
          <w:p>
            <w:r>
              <w:t>Slide table</w:t>
            </w:r>
          </w:p>
        </w:tc>
        <w:tc>
          <w:tcPr>
            <w:tcW w:type="dxa" w:w="1728"/>
          </w:tcPr>
          <w:p>
            <w:r>
              <w:t>Add a state-wise PM-JAY extraction note.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FSR June 2024</w:t>
            </w:r>
          </w:p>
        </w:tc>
        <w:tc>
          <w:tcPr>
            <w:tcW w:type="dxa" w:w="1728"/>
          </w:tcPr>
          <w:p>
            <w:r>
              <w:t>Household savings decline and net financial savings fall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“what remains uninsured?” data bullet on household balance sheets.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IRDAI Table 1.1</w:t>
            </w:r>
          </w:p>
        </w:tc>
        <w:tc>
          <w:tcPr>
            <w:tcW w:type="dxa" w:w="1728"/>
          </w:tcPr>
          <w:p>
            <w:r>
              <w:t>India vs global penetration and density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exact table reference below the segment. [file:1]</w:t>
            </w:r>
          </w:p>
        </w:tc>
      </w:tr>
    </w:tbl>
    <w:p>
      <w:pPr>
        <w:pStyle w:val="Heading2"/>
      </w:pPr>
      <w:r>
        <w:t>Segment 4 — Economic Risk at the Firm / Society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BIS Triennial Survey 2022</w:t>
            </w:r>
          </w:p>
        </w:tc>
        <w:tc>
          <w:tcPr>
            <w:tcW w:type="dxa" w:w="1728"/>
          </w:tcPr>
          <w:p>
            <w:r>
              <w:t>OTC derivatives notional and market value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size-of-market bullet to show scale of risk transfer.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BIS Quarterly Review</w:t>
            </w:r>
          </w:p>
        </w:tc>
        <w:tc>
          <w:tcPr>
            <w:tcW w:type="dxa" w:w="1728"/>
          </w:tcPr>
          <w:p>
            <w:r>
              <w:t>CDS market rise and post-GFC decline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pre- and post-crisis CDS comparison bullet.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SEBI Handbook 2023 / Annual Report 2023–24</w:t>
            </w:r>
          </w:p>
        </w:tc>
        <w:tc>
          <w:tcPr>
            <w:tcW w:type="dxa" w:w="1728"/>
          </w:tcPr>
          <w:p>
            <w:r>
              <w:t>Outstanding corporate bonds in India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corporate-bond-market size as domestic context.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FSR Dec 2018; MCA filings</w:t>
            </w:r>
          </w:p>
        </w:tc>
        <w:tc>
          <w:tcPr>
            <w:tcW w:type="dxa" w:w="1728"/>
          </w:tcPr>
          <w:p>
            <w:r>
              <w:t>IL&amp;FS debt at default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IL&amp;FS case box.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Yes Bank Reconstruction Scheme 2020</w:t>
            </w:r>
          </w:p>
        </w:tc>
        <w:tc>
          <w:tcPr>
            <w:tcW w:type="dxa" w:w="1728"/>
          </w:tcPr>
          <w:p>
            <w:r>
              <w:t>AT1 write-down and SBI infusion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Yes Bank case box with two numbers.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SEBI issuance split; RBI FSR NBFC aggregates</w:t>
            </w:r>
          </w:p>
        </w:tc>
        <w:tc>
          <w:tcPr>
            <w:tcW w:type="dxa" w:w="1728"/>
          </w:tcPr>
          <w:p>
            <w:r>
              <w:t>Public vs private bond issuance; pre/post IL&amp;FS indicators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table on bond issuance structure and one on NBFC stress. [file:1]</w:t>
            </w:r>
          </w:p>
        </w:tc>
      </w:tr>
    </w:tbl>
    <w:p>
      <w:pPr>
        <w:pStyle w:val="Heading2"/>
      </w:pPr>
      <w:r>
        <w:t>Segment 5A — Monsoon Dependency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Gadgil and Gadgil (2006)</w:t>
            </w:r>
          </w:p>
        </w:tc>
        <w:tc>
          <w:tcPr>
            <w:tcW w:type="dxa" w:w="1728"/>
          </w:tcPr>
          <w:p>
            <w:r>
              <w:t>Severe drought impact on GDP over 1951–2003</w:t>
            </w:r>
          </w:p>
        </w:tc>
        <w:tc>
          <w:tcPr>
            <w:tcW w:type="dxa" w:w="1728"/>
          </w:tcPr>
          <w:p>
            <w:r>
              <w:t>Speaking note / slide</w:t>
            </w:r>
          </w:p>
        </w:tc>
        <w:tc>
          <w:tcPr>
            <w:tcW w:type="dxa" w:w="1728"/>
          </w:tcPr>
          <w:p>
            <w:r>
              <w:t>Add one historical-statistic bullet.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IMD long-range forecast updates</w:t>
            </w:r>
          </w:p>
        </w:tc>
        <w:tc>
          <w:tcPr>
            <w:tcW w:type="dxa" w:w="1728"/>
          </w:tcPr>
          <w:p>
            <w:r>
              <w:t>Seasonal rainfall vs LPA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latest monsoon comparison line.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Economic Survey 2024–25 citing PLFS 2023–24</w:t>
            </w:r>
          </w:p>
        </w:tc>
        <w:tc>
          <w:tcPr>
            <w:tcW w:type="dxa" w:w="1728"/>
          </w:tcPr>
          <w:p>
            <w:r>
              <w:t>Agriculture employment share vs GVA share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two-column “employment vs output” contrast.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IMD seasonal rainfall record</w:t>
            </w:r>
          </w:p>
        </w:tc>
        <w:tc>
          <w:tcPr>
            <w:tcW w:type="dxa" w:w="1728"/>
          </w:tcPr>
          <w:p>
            <w:r>
              <w:t>Long historical rainfall record</w:t>
            </w:r>
          </w:p>
        </w:tc>
        <w:tc>
          <w:tcPr>
            <w:tcW w:type="dxa" w:w="1728"/>
          </w:tcPr>
          <w:p>
            <w:r>
              <w:t>Speaking note</w:t>
            </w:r>
          </w:p>
        </w:tc>
        <w:tc>
          <w:tcPr>
            <w:tcW w:type="dxa" w:w="1728"/>
          </w:tcPr>
          <w:p>
            <w:r>
              <w:t>Add retrieval note for 1901–latest annual series. [file:1]</w:t>
            </w:r>
          </w:p>
        </w:tc>
      </w:tr>
    </w:tbl>
    <w:p>
      <w:pPr>
        <w:pStyle w:val="Heading2"/>
      </w:pPr>
      <w:r>
        <w:t>Segment 5B — Inflation as Two-Sided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Act / Section 45ZA; 2021 renewal</w:t>
            </w:r>
          </w:p>
        </w:tc>
        <w:tc>
          <w:tcPr>
            <w:tcW w:type="dxa" w:w="1728"/>
          </w:tcPr>
          <w:p>
            <w:r>
              <w:t>Inflation-targeting framework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legal-institutional one-liner under this segment.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Monetary Policy Report October 2025</w:t>
            </w:r>
          </w:p>
        </w:tc>
        <w:tc>
          <w:tcPr>
            <w:tcW w:type="dxa" w:w="1728"/>
          </w:tcPr>
          <w:p>
            <w:r>
              <w:t>FY26 inflation, growth, repo, stance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latest policy snapshot box.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Urjit Patel Committee Report (2014)</w:t>
            </w:r>
          </w:p>
        </w:tc>
        <w:tc>
          <w:tcPr>
            <w:tcW w:type="dxa" w:w="1728"/>
          </w:tcPr>
          <w:p>
            <w:r>
              <w:t>Recommended glide path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simple glide-path table. [file:1]</w:t>
            </w:r>
          </w:p>
        </w:tc>
      </w:tr>
    </w:tbl>
    <w:p>
      <w:pPr>
        <w:pStyle w:val="Heading2"/>
      </w:pPr>
      <w:r>
        <w:t>Segment 5C — Government Policy Risk — Demonetisation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Demonetisation announcement and RBI annual reports</w:t>
            </w:r>
          </w:p>
        </w:tc>
        <w:tc>
          <w:tcPr>
            <w:tcW w:type="dxa" w:w="1728"/>
          </w:tcPr>
          <w:p>
            <w:r>
              <w:t>Currency share affected and SBN return rate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two-line “shock magnitude” fact box.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Chodorow-Reich et al. (2020)</w:t>
            </w:r>
          </w:p>
        </w:tc>
        <w:tc>
          <w:tcPr>
            <w:tcW w:type="dxa" w:w="1728"/>
          </w:tcPr>
          <w:p>
            <w:r>
              <w:t>Estimated short-run effects on output, employment, and credit</w:t>
            </w:r>
          </w:p>
        </w:tc>
        <w:tc>
          <w:tcPr>
            <w:tcW w:type="dxa" w:w="1728"/>
          </w:tcPr>
          <w:p>
            <w:r>
              <w:t>Slide / speaking note</w:t>
            </w:r>
          </w:p>
        </w:tc>
        <w:tc>
          <w:tcPr>
            <w:tcW w:type="dxa" w:w="1728"/>
          </w:tcPr>
          <w:p>
            <w:r>
              <w:t>Add the 2 percentage-point effect estimate with correct wording.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Annual Report 2017–18, Box II</w:t>
            </w:r>
          </w:p>
        </w:tc>
        <w:tc>
          <w:tcPr>
            <w:tcW w:type="dxa" w:w="1728"/>
          </w:tcPr>
          <w:p>
            <w:r>
              <w:t>SBN deposits, printing, denomination split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exact table citation under the segment. [file:1]</w:t>
            </w:r>
          </w:p>
        </w:tc>
      </w:tr>
    </w:tbl>
    <w:p>
      <w:pPr>
        <w:pStyle w:val="Heading2"/>
      </w:pPr>
      <w:r>
        <w:t>Segment 6 — National-Level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PPAC Snapshot</w:t>
            </w:r>
          </w:p>
        </w:tc>
        <w:tc>
          <w:tcPr>
            <w:tcW w:type="dxa" w:w="1728"/>
          </w:tcPr>
          <w:p>
            <w:r>
              <w:t>Crude-oil import dependence over recent years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short time-series bullet for import dependence.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Handbook of Statistics</w:t>
            </w:r>
          </w:p>
        </w:tc>
        <w:tc>
          <w:tcPr>
            <w:tcW w:type="dxa" w:w="1728"/>
          </w:tcPr>
          <w:p>
            <w:r>
              <w:t>Fiscal deficit, current account, exchange-rate series</w:t>
            </w:r>
          </w:p>
        </w:tc>
        <w:tc>
          <w:tcPr>
            <w:tcW w:type="dxa" w:w="1728"/>
          </w:tcPr>
          <w:p>
            <w:r>
              <w:t>Slide / tables</w:t>
            </w:r>
          </w:p>
        </w:tc>
        <w:tc>
          <w:tcPr>
            <w:tcW w:type="dxa" w:w="1728"/>
          </w:tcPr>
          <w:p>
            <w:r>
              <w:t>Add the exact HBS table numbers directly under the segment.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Sovereign-rating updates as of May 2026</w:t>
            </w:r>
          </w:p>
        </w:tc>
        <w:tc>
          <w:tcPr>
            <w:tcW w:type="dxa" w:w="1728"/>
          </w:tcPr>
          <w:p>
            <w:r>
              <w:t>Current external credibility / market perception indicators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3-row sovereign-ratings table.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HBS Table 234; IMF Selected Economic Indicators</w:t>
            </w:r>
          </w:p>
        </w:tc>
        <w:tc>
          <w:tcPr>
            <w:tcW w:type="dxa" w:w="1728"/>
          </w:tcPr>
          <w:p>
            <w:r>
              <w:t>Combined fiscal deficit and macro indicators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domestic time-series table and one current macro snapshot. [file:1]</w:t>
            </w:r>
          </w:p>
        </w:tc>
      </w:tr>
    </w:tbl>
    <w:p>
      <w:pPr>
        <w:pStyle w:val="Heading2"/>
      </w:pPr>
      <w:r>
        <w:t>Segment 7 — Recap and Forex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Weekly Statistical Supplement Table 2.1</w:t>
            </w:r>
          </w:p>
        </w:tc>
        <w:tc>
          <w:tcPr>
            <w:tcW w:type="dxa" w:w="1728"/>
          </w:tcPr>
          <w:p>
            <w:r>
              <w:t>Latest reserve composition and reserve level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latest-number reserve snapshot.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BoP press releases</w:t>
            </w:r>
          </w:p>
        </w:tc>
        <w:tc>
          <w:tcPr>
            <w:tcW w:type="dxa" w:w="1728"/>
          </w:tcPr>
          <w:p>
            <w:r>
              <w:t>Quarterly current and capital account data</w:t>
            </w:r>
          </w:p>
        </w:tc>
        <w:tc>
          <w:tcPr>
            <w:tcW w:type="dxa" w:w="1728"/>
          </w:tcPr>
          <w:p>
            <w:r>
              <w:t>Slide table</w:t>
            </w:r>
          </w:p>
        </w:tc>
        <w:tc>
          <w:tcPr>
            <w:tcW w:type="dxa" w:w="1728"/>
          </w:tcPr>
          <w:p>
            <w:r>
              <w:t>Add a note to reproduce the quarterly BoP table.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DPIIT FDI fact sheet</w:t>
            </w:r>
          </w:p>
        </w:tc>
        <w:tc>
          <w:tcPr>
            <w:tcW w:type="dxa" w:w="1728"/>
          </w:tcPr>
          <w:p>
            <w:r>
              <w:t>Source-country and sector FDI data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table for top investor countries.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UN WESP Monthly Briefing 196; World Bank MDB 40</w:t>
            </w:r>
          </w:p>
        </w:tc>
        <w:tc>
          <w:tcPr>
            <w:tcW w:type="dxa" w:w="1728"/>
          </w:tcPr>
          <w:p>
            <w:r>
              <w:t>Latest remittance estimate for India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“India as top remittance recipient” statistic. [file:1]</w:t>
            </w:r>
          </w:p>
        </w:tc>
      </w:tr>
    </w:tbl>
    <w:p>
      <w:pPr>
        <w:pStyle w:val="Heading2"/>
      </w:pPr>
      <w:r>
        <w:t>Segment 8A — 1991 BoP Crisis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Annual Report 1990–91</w:t>
            </w:r>
          </w:p>
        </w:tc>
        <w:tc>
          <w:tcPr>
            <w:tcW w:type="dxa" w:w="1728"/>
          </w:tcPr>
          <w:p>
            <w:r>
              <w:t>Reserves and import cover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“crisis in one glance” fact box.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Historical accounts on gold pledge and IMF program</w:t>
            </w:r>
          </w:p>
        </w:tc>
        <w:tc>
          <w:tcPr>
            <w:tcW w:type="dxa" w:w="1728"/>
          </w:tcPr>
          <w:p>
            <w:r>
              <w:t>Gold pledge quantities and emergency financing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3-line crisis chronology.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Joshi and Little; CAD / fiscal figures</w:t>
            </w:r>
          </w:p>
        </w:tc>
        <w:tc>
          <w:tcPr>
            <w:tcW w:type="dxa" w:w="1728"/>
          </w:tcPr>
          <w:p>
            <w:r>
              <w:t>Structural macro backdrop</w:t>
            </w:r>
          </w:p>
        </w:tc>
        <w:tc>
          <w:tcPr>
            <w:tcW w:type="dxa" w:w="1728"/>
          </w:tcPr>
          <w:p>
            <w:r>
              <w:t>Speaking note</w:t>
            </w:r>
          </w:p>
        </w:tc>
        <w:tc>
          <w:tcPr>
            <w:tcW w:type="dxa" w:w="1728"/>
          </w:tcPr>
          <w:p>
            <w:r>
              <w:t>Add a “why it happened” bullet list with fiscal and CAD numbers.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Annual Report 1990–91</w:t>
            </w:r>
          </w:p>
        </w:tc>
        <w:tc>
          <w:tcPr>
            <w:tcW w:type="dxa" w:w="1728"/>
          </w:tcPr>
          <w:p>
            <w:r>
              <w:t>BoP components and reserve drawdown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exact table retrieval note. [file:1]</w:t>
            </w:r>
          </w:p>
        </w:tc>
      </w:tr>
    </w:tbl>
    <w:p>
      <w:pPr>
        <w:pStyle w:val="Heading2"/>
      </w:pPr>
      <w:r>
        <w:t>Segment 8B — 2003–04 India Shining and MSS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Annual Report 2003–04</w:t>
            </w:r>
          </w:p>
        </w:tc>
        <w:tc>
          <w:tcPr>
            <w:tcW w:type="dxa" w:w="1728"/>
          </w:tcPr>
          <w:p>
            <w:r>
              <w:t>FII inflows and rupee appreciation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inflow and exchange-rate pair of numbers.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MoU launching MSS; RBI WSS</w:t>
            </w:r>
          </w:p>
        </w:tc>
        <w:tc>
          <w:tcPr>
            <w:tcW w:type="dxa" w:w="1728"/>
          </w:tcPr>
          <w:p>
            <w:r>
              <w:t>Sterilisation mechanism and outstanding stock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line explaining why MSS was introduced.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Annual Report 2003–04; RBI WSS</w:t>
            </w:r>
          </w:p>
        </w:tc>
        <w:tc>
          <w:tcPr>
            <w:tcW w:type="dxa" w:w="1728"/>
          </w:tcPr>
          <w:p>
            <w:r>
              <w:t>Capital account components; MSS stock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references to both tables directly below the segment. [file:1]</w:t>
            </w:r>
          </w:p>
        </w:tc>
      </w:tr>
    </w:tbl>
    <w:p>
      <w:pPr>
        <w:pStyle w:val="Heading2"/>
      </w:pPr>
      <w:r>
        <w:t>Segment 8C — 2007–08 Global Financial Crisis and India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Annual Report 2008–09</w:t>
            </w:r>
          </w:p>
        </w:tc>
        <w:tc>
          <w:tcPr>
            <w:tcW w:type="dxa" w:w="1728"/>
          </w:tcPr>
          <w:p>
            <w:r>
              <w:t>GDP slowdown and CAD increase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macro-impact bullet.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Subbarao speech, Feb 18 2009</w:t>
            </w:r>
          </w:p>
        </w:tc>
        <w:tc>
          <w:tcPr>
            <w:tcW w:type="dxa" w:w="1728"/>
          </w:tcPr>
          <w:p>
            <w:r>
              <w:t>Trade openness and capital-inflow dependence quote</w:t>
            </w:r>
          </w:p>
        </w:tc>
        <w:tc>
          <w:tcPr>
            <w:tcW w:type="dxa" w:w="1728"/>
          </w:tcPr>
          <w:p>
            <w:r>
              <w:t>Speaking note</w:t>
            </w:r>
          </w:p>
        </w:tc>
        <w:tc>
          <w:tcPr>
            <w:tcW w:type="dxa" w:w="1728"/>
          </w:tcPr>
          <w:p>
            <w:r>
              <w:t>Add one quoted line for narration.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BIS Quarterly Review March 2009</w:t>
            </w:r>
          </w:p>
        </w:tc>
        <w:tc>
          <w:tcPr>
            <w:tcW w:type="dxa" w:w="1728"/>
          </w:tcPr>
          <w:p>
            <w:r>
              <w:t>EM capital flow reversals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as external shock evidence.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statistical appendix</w:t>
            </w:r>
          </w:p>
        </w:tc>
        <w:tc>
          <w:tcPr>
            <w:tcW w:type="dxa" w:w="1728"/>
          </w:tcPr>
          <w:p>
            <w:r>
              <w:t>Policy actions Sept 2008–Mar 2009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policy-response table. [file:1]</w:t>
            </w:r>
          </w:p>
        </w:tc>
      </w:tr>
    </w:tbl>
    <w:p>
      <w:pPr>
        <w:pStyle w:val="Heading2"/>
      </w:pPr>
      <w:r>
        <w:t>Segment 8D — 2013 Taper Tantrum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Annual Report 2013–14</w:t>
            </w:r>
          </w:p>
        </w:tc>
        <w:tc>
          <w:tcPr>
            <w:tcW w:type="dxa" w:w="1728"/>
          </w:tcPr>
          <w:p>
            <w:r>
              <w:t>Rupee fall, FII flows, FCNR(B) outcomes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three-number crisis summary.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Morgan Stanley / later academic renderings</w:t>
            </w:r>
          </w:p>
        </w:tc>
        <w:tc>
          <w:tcPr>
            <w:tcW w:type="dxa" w:w="1728"/>
          </w:tcPr>
          <w:p>
            <w:r>
              <w:t>“Fragile Five” framing</w:t>
            </w:r>
          </w:p>
        </w:tc>
        <w:tc>
          <w:tcPr>
            <w:tcW w:type="dxa" w:w="1728"/>
          </w:tcPr>
          <w:p>
            <w:r>
              <w:t>Speaking note</w:t>
            </w:r>
          </w:p>
        </w:tc>
        <w:tc>
          <w:tcPr>
            <w:tcW w:type="dxa" w:w="1728"/>
          </w:tcPr>
          <w:p>
            <w:r>
              <w:t>Add note that Eichengreen and Gupta is preferable for academic use.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Annual Report 2013–14</w:t>
            </w:r>
          </w:p>
        </w:tc>
        <w:tc>
          <w:tcPr>
            <w:tcW w:type="dxa" w:w="1728"/>
          </w:tcPr>
          <w:p>
            <w:r>
              <w:t>FCNR(B) swap window outcomes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exact table reference. [file:1]</w:t>
            </w:r>
          </w:p>
        </w:tc>
      </w:tr>
    </w:tbl>
    <w:p>
      <w:pPr>
        <w:pStyle w:val="Heading2"/>
      </w:pPr>
      <w:r>
        <w:t>Segment 8E — COVID-19 Forex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AR 2020–21; RBI FSR July 2021</w:t>
            </w:r>
          </w:p>
        </w:tc>
        <w:tc>
          <w:tcPr>
            <w:tcW w:type="dxa" w:w="1728"/>
          </w:tcPr>
          <w:p>
            <w:r>
              <w:t>Reserve accumulation, import cover, CAD surplus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reserve-buildup timeline.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IMF SDR allocation, Aug 2021</w:t>
            </w:r>
          </w:p>
        </w:tc>
        <w:tc>
          <w:tcPr>
            <w:tcW w:type="dxa" w:w="1728"/>
          </w:tcPr>
          <w:p>
            <w:r>
              <w:t>SDR boost to reserves</w:t>
            </w:r>
          </w:p>
        </w:tc>
        <w:tc>
          <w:tcPr>
            <w:tcW w:type="dxa" w:w="1728"/>
          </w:tcPr>
          <w:p>
            <w:r>
              <w:t>Slide / note</w:t>
            </w:r>
          </w:p>
        </w:tc>
        <w:tc>
          <w:tcPr>
            <w:tcW w:type="dxa" w:w="1728"/>
          </w:tcPr>
          <w:p>
            <w:r>
              <w:t>Add one line on SDR allocation. [file:1]</w:t>
            </w:r>
          </w:p>
        </w:tc>
      </w:tr>
    </w:tbl>
    <w:p>
      <w:pPr>
        <w:pStyle w:val="Heading2"/>
      </w:pPr>
      <w:r>
        <w:t>Segment 8F — Russia–Ukraine and Discounted Crude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Brent prices; EIA India brief; DGCI&amp;S study</w:t>
            </w:r>
          </w:p>
        </w:tc>
        <w:tc>
          <w:tcPr>
            <w:tcW w:type="dxa" w:w="1728"/>
          </w:tcPr>
          <w:p>
            <w:r>
              <w:t>Oil-price shock and Russia share in India imports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pre-war vs post-war import-share comparison.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IEA Oil Market Report June 2023</w:t>
            </w:r>
          </w:p>
        </w:tc>
        <w:tc>
          <w:tcPr>
            <w:tcW w:type="dxa" w:w="1728"/>
          </w:tcPr>
          <w:p>
            <w:r>
              <w:t>Destination of Russian crude and Urals discount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the discount statistic and export-destination line.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India CAD figures FY22–FY23</w:t>
            </w:r>
          </w:p>
        </w:tc>
        <w:tc>
          <w:tcPr>
            <w:tcW w:type="dxa" w:w="1728"/>
          </w:tcPr>
          <w:p>
            <w:r>
              <w:t>Macro consequence for India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CAD-widening bullet.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PPAC Snapshot</w:t>
            </w:r>
          </w:p>
        </w:tc>
        <w:tc>
          <w:tcPr>
            <w:tcW w:type="dxa" w:w="1728"/>
          </w:tcPr>
          <w:p>
            <w:r>
              <w:t>Country-wise crude-import shares over five years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5-year import-source table. [file:1]</w:t>
            </w:r>
          </w:p>
        </w:tc>
      </w:tr>
    </w:tbl>
    <w:p>
      <w:pPr>
        <w:pStyle w:val="Heading2"/>
      </w:pPr>
      <w:r>
        <w:t>Segment 8G — Current Period — mid-2026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IMF Country Report 25/054; IMF PR 25/392</w:t>
            </w:r>
          </w:p>
        </w:tc>
        <w:tc>
          <w:tcPr>
            <w:tcW w:type="dxa" w:w="1728"/>
          </w:tcPr>
          <w:p>
            <w:r>
              <w:t>Current growth, CAD, tariff assumptions, external position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“current macro dashboard” with 4–5 numbers.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MPR October 2025</w:t>
            </w:r>
          </w:p>
        </w:tc>
        <w:tc>
          <w:tcPr>
            <w:tcW w:type="dxa" w:w="1728"/>
          </w:tcPr>
          <w:p>
            <w:r>
              <w:t>NEER, REER, CAD, reserves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latest external-sector policy snapshot.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Governor April MPC remarks</w:t>
            </w:r>
          </w:p>
        </w:tc>
        <w:tc>
          <w:tcPr>
            <w:tcW w:type="dxa" w:w="1728"/>
          </w:tcPr>
          <w:p>
            <w:r>
              <w:t>Current rupee and reserves level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live-update line for May 2026 narration.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IMF Selected Economic Indicators; RBI Bulletin dashboard</w:t>
            </w:r>
          </w:p>
        </w:tc>
        <w:tc>
          <w:tcPr>
            <w:tcW w:type="dxa" w:w="1728"/>
          </w:tcPr>
          <w:p>
            <w:r>
              <w:t>Current macro indicators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compact latest-indicator table. [file:1]</w:t>
            </w:r>
          </w:p>
        </w:tc>
      </w:tr>
    </w:tbl>
    <w:p>
      <w:pPr>
        <w:pStyle w:val="Heading2"/>
      </w:pPr>
      <w:r>
        <w:t>Segment 9 — Is Rupee Depreciation a Problem?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REER / NEER tables and HBS Table 147</w:t>
            </w:r>
          </w:p>
        </w:tc>
        <w:tc>
          <w:tcPr>
            <w:tcW w:type="dxa" w:w="1728"/>
          </w:tcPr>
          <w:p>
            <w:r>
              <w:t>Exchange-rate indicators over time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explicit reference to annual and monthly REER / NEER tables.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Khundrakpam (2007); Kapur and Behera (2012)</w:t>
            </w:r>
          </w:p>
        </w:tc>
        <w:tc>
          <w:tcPr>
            <w:tcW w:type="dxa" w:w="1728"/>
          </w:tcPr>
          <w:p>
            <w:r>
              <w:t>Exchange-rate pass-through estimates for India</w:t>
            </w:r>
          </w:p>
        </w:tc>
        <w:tc>
          <w:tcPr>
            <w:tcW w:type="dxa" w:w="1728"/>
          </w:tcPr>
          <w:p>
            <w:r>
              <w:t>Slide / speaking note</w:t>
            </w:r>
          </w:p>
        </w:tc>
        <w:tc>
          <w:tcPr>
            <w:tcW w:type="dxa" w:w="1728"/>
          </w:tcPr>
          <w:p>
            <w:r>
              <w:t>Add one pass-through bullet with a range.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HBS Table 147</w:t>
            </w:r>
          </w:p>
        </w:tc>
        <w:tc>
          <w:tcPr>
            <w:tcW w:type="dxa" w:w="1728"/>
          </w:tcPr>
          <w:p>
            <w:r>
              <w:t>REER / NEER annual averages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small summary table under the segment. [file:1]</w:t>
            </w:r>
          </w:p>
        </w:tc>
      </w:tr>
    </w:tbl>
    <w:p>
      <w:pPr>
        <w:pStyle w:val="Heading2"/>
      </w:pPr>
      <w:r>
        <w:t>Segment 10 — Market Sterilisation and the Impossible Trinity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Source / item</w:t>
            </w:r>
          </w:p>
        </w:tc>
        <w:tc>
          <w:tcPr>
            <w:tcW w:type="dxa" w:w="1728"/>
          </w:tcPr>
          <w:p>
            <w:r>
              <w:t>What it gives you</w:t>
            </w:r>
          </w:p>
        </w:tc>
        <w:tc>
          <w:tcPr>
            <w:tcW w:type="dxa" w:w="1728"/>
          </w:tcPr>
          <w:p>
            <w:r>
              <w:t>Best use</w:t>
            </w:r>
          </w:p>
        </w:tc>
        <w:tc>
          <w:tcPr>
            <w:tcW w:type="dxa" w:w="1728"/>
          </w:tcPr>
          <w:p>
            <w:r>
              <w:t>Addition to insert below the segment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WSS</w:t>
            </w:r>
          </w:p>
        </w:tc>
        <w:tc>
          <w:tcPr>
            <w:tcW w:type="dxa" w:w="1728"/>
          </w:tcPr>
          <w:p>
            <w:r>
              <w:t>MSS outstanding stock and OMO operations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exact WSS references for MSS and OMOs.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RBI HBS Table 41</w:t>
            </w:r>
          </w:p>
        </w:tc>
        <w:tc>
          <w:tcPr>
            <w:tcW w:type="dxa" w:w="1728"/>
          </w:tcPr>
          <w:p>
            <w:r>
              <w:t>CRR history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CRR chronology note. [file:1]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Aizenman-Chinn-Ito trilemma index</w:t>
            </w:r>
          </w:p>
        </w:tc>
        <w:tc>
          <w:tcPr>
            <w:tcW w:type="dxa" w:w="1728"/>
          </w:tcPr>
          <w:p>
            <w:r>
              <w:t>Empirical trilemma positioning for India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one note pointing to India’s trilemma index series. [file:1]</w:t>
            </w:r>
          </w:p>
        </w:tc>
      </w:tr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RBI WSS; RBI HBS Table 41</w:t>
            </w:r>
          </w:p>
        </w:tc>
        <w:tc>
          <w:tcPr>
            <w:tcW w:type="dxa" w:w="1728"/>
          </w:tcPr>
          <w:p>
            <w:r>
              <w:t>MSS / OMO operations and CRR profile</w:t>
            </w:r>
          </w:p>
        </w:tc>
        <w:tc>
          <w:tcPr>
            <w:tcW w:type="dxa" w:w="1728"/>
          </w:tcPr>
          <w:p>
            <w:r>
              <w:t>Slide</w:t>
            </w:r>
          </w:p>
        </w:tc>
        <w:tc>
          <w:tcPr>
            <w:tcW w:type="dxa" w:w="1728"/>
          </w:tcPr>
          <w:p>
            <w:r>
              <w:t>Add a short operational-policy table. [file:1]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