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ECEDF" w14:textId="77777777" w:rsidR="004E4147" w:rsidRPr="004E4147" w:rsidRDefault="004E4147" w:rsidP="004E4147">
      <w:r w:rsidRPr="004E4147">
        <w:rPr>
          <w:b/>
          <w:bCs/>
          <w:highlight w:val="yellow"/>
        </w:rPr>
        <w:t>Core Concepts of Cloud Computing: Compute, Storage, Networking, and Database</w:t>
      </w:r>
    </w:p>
    <w:p w14:paraId="5B63130F" w14:textId="77777777" w:rsidR="004E4147" w:rsidRPr="004E4147" w:rsidRDefault="004E4147" w:rsidP="004E4147">
      <w:pPr>
        <w:numPr>
          <w:ilvl w:val="0"/>
          <w:numId w:val="1"/>
        </w:numPr>
      </w:pPr>
      <w:r w:rsidRPr="004E4147">
        <w:rPr>
          <w:b/>
          <w:bCs/>
        </w:rPr>
        <w:t>Compute</w:t>
      </w:r>
      <w:r w:rsidRPr="004E4147">
        <w:t>: Compute resources in cloud computing provide the processing power needed to run applications. Examples include virtual machines (VMs), containers, and serverless functions. These allow organizations to scale their workloads efficiently based on demand.</w:t>
      </w:r>
    </w:p>
    <w:p w14:paraId="02DEFC52" w14:textId="77777777" w:rsidR="004E4147" w:rsidRPr="004E4147" w:rsidRDefault="004E4147" w:rsidP="004E4147">
      <w:pPr>
        <w:numPr>
          <w:ilvl w:val="0"/>
          <w:numId w:val="1"/>
        </w:numPr>
      </w:pPr>
      <w:r w:rsidRPr="004E4147">
        <w:rPr>
          <w:b/>
          <w:bCs/>
        </w:rPr>
        <w:t>Storage</w:t>
      </w:r>
      <w:r w:rsidRPr="004E4147">
        <w:t>: Cloud storage solutions offer scalable, durable, and highly available storage options. This includes object storage, file storage, and block storage. Services like Azure Blob Storage and Azure Files provide flexible storage solutions.</w:t>
      </w:r>
    </w:p>
    <w:p w14:paraId="3F828F69" w14:textId="77777777" w:rsidR="004E4147" w:rsidRPr="004E4147" w:rsidRDefault="004E4147" w:rsidP="004E4147">
      <w:pPr>
        <w:numPr>
          <w:ilvl w:val="0"/>
          <w:numId w:val="1"/>
        </w:numPr>
      </w:pPr>
      <w:r w:rsidRPr="004E4147">
        <w:rPr>
          <w:b/>
          <w:bCs/>
        </w:rPr>
        <w:t>Networking</w:t>
      </w:r>
      <w:r w:rsidRPr="004E4147">
        <w:t>: Networking in the cloud ensures seamless communication between resources. Key components include virtual networks (VNets), load balancers, and gateways. These enable secure connections, traffic distribution, and integration with on-premises networks.</w:t>
      </w:r>
    </w:p>
    <w:p w14:paraId="0EC47CC7" w14:textId="77777777" w:rsidR="004E4147" w:rsidRPr="004E4147" w:rsidRDefault="004E4147" w:rsidP="004E4147">
      <w:pPr>
        <w:numPr>
          <w:ilvl w:val="0"/>
          <w:numId w:val="1"/>
        </w:numPr>
      </w:pPr>
      <w:r w:rsidRPr="004E4147">
        <w:rPr>
          <w:b/>
          <w:bCs/>
        </w:rPr>
        <w:t>Database</w:t>
      </w:r>
      <w:r w:rsidRPr="004E4147">
        <w:t>: Cloud databases provide managed database services for relational and non-relational data. Examples include Azure SQL Database for relational data and Azure Cosmos DB for globally distributed, multi-model data.</w:t>
      </w:r>
    </w:p>
    <w:p w14:paraId="73E732D9" w14:textId="77777777" w:rsidR="004E4147" w:rsidRPr="004E4147" w:rsidRDefault="004E4147" w:rsidP="004E4147">
      <w:r w:rsidRPr="004E4147">
        <w:rPr>
          <w:b/>
          <w:bCs/>
          <w:highlight w:val="yellow"/>
        </w:rPr>
        <w:t>Billing in Azure</w:t>
      </w:r>
    </w:p>
    <w:p w14:paraId="0796B3E9" w14:textId="77777777" w:rsidR="004E4147" w:rsidRPr="004E4147" w:rsidRDefault="004E4147" w:rsidP="004E4147">
      <w:r w:rsidRPr="004E4147">
        <w:t>Azure billing is based on a pay-as-you-go model, where users are charged for the resources they consume. Key aspects include:</w:t>
      </w:r>
    </w:p>
    <w:p w14:paraId="3B809589" w14:textId="77777777" w:rsidR="004E4147" w:rsidRPr="004E4147" w:rsidRDefault="004E4147" w:rsidP="004E4147">
      <w:pPr>
        <w:numPr>
          <w:ilvl w:val="0"/>
          <w:numId w:val="2"/>
        </w:numPr>
      </w:pPr>
      <w:r w:rsidRPr="004E4147">
        <w:rPr>
          <w:b/>
          <w:bCs/>
        </w:rPr>
        <w:t>Pricing Models</w:t>
      </w:r>
      <w:r w:rsidRPr="004E4147">
        <w:t>: Options include pay-as-you-go, reserved instances, and spot pricing for cost savings.</w:t>
      </w:r>
    </w:p>
    <w:p w14:paraId="4EF582D5" w14:textId="77777777" w:rsidR="004E4147" w:rsidRPr="004E4147" w:rsidRDefault="004E4147" w:rsidP="004E4147">
      <w:pPr>
        <w:numPr>
          <w:ilvl w:val="0"/>
          <w:numId w:val="2"/>
        </w:numPr>
      </w:pPr>
      <w:r w:rsidRPr="004E4147">
        <w:rPr>
          <w:b/>
          <w:bCs/>
        </w:rPr>
        <w:t>Cost Management Tools</w:t>
      </w:r>
      <w:r w:rsidRPr="004E4147">
        <w:t>: Azure Cost Management and Billing tools provide insights into spending, budgeting, and optimizing resource usage.</w:t>
      </w:r>
    </w:p>
    <w:p w14:paraId="3BA90BF5" w14:textId="77777777" w:rsidR="004E4147" w:rsidRPr="004E4147" w:rsidRDefault="004E4147" w:rsidP="004E4147">
      <w:pPr>
        <w:numPr>
          <w:ilvl w:val="0"/>
          <w:numId w:val="2"/>
        </w:numPr>
      </w:pPr>
      <w:r w:rsidRPr="004E4147">
        <w:rPr>
          <w:b/>
          <w:bCs/>
        </w:rPr>
        <w:t>Meters and Units</w:t>
      </w:r>
      <w:r w:rsidRPr="004E4147">
        <w:t>: Each Azure resource has associated meters to track usage, such as compute hours or storage GBs.</w:t>
      </w:r>
    </w:p>
    <w:p w14:paraId="2F7B9942" w14:textId="77777777" w:rsidR="004E4147" w:rsidRPr="004E4147" w:rsidRDefault="004E4147" w:rsidP="004E4147">
      <w:r w:rsidRPr="004E4147">
        <w:rPr>
          <w:b/>
          <w:bCs/>
          <w:highlight w:val="yellow"/>
        </w:rPr>
        <w:t>Availability Set</w:t>
      </w:r>
    </w:p>
    <w:p w14:paraId="33B33A2A" w14:textId="77777777" w:rsidR="004E4147" w:rsidRPr="004E4147" w:rsidRDefault="004E4147" w:rsidP="004E4147">
      <w:r w:rsidRPr="004E4147">
        <w:t>An availability set ensures high availability for VMs by distributing them across multiple fault domains and update domains. This minimizes downtime due to hardware failures or maintenance updates. Fault domains separate VMs across different physical servers, while update domains ensure that maintenance occurs without impacting all VMs simultaneously.</w:t>
      </w:r>
    </w:p>
    <w:p w14:paraId="7835C9F1" w14:textId="77777777" w:rsidR="004E4147" w:rsidRPr="004E4147" w:rsidRDefault="004E4147" w:rsidP="004E4147">
      <w:r w:rsidRPr="004E4147">
        <w:rPr>
          <w:b/>
          <w:bCs/>
          <w:highlight w:val="yellow"/>
        </w:rPr>
        <w:t>Availability Zone</w:t>
      </w:r>
    </w:p>
    <w:p w14:paraId="42910EF9" w14:textId="798B33ED" w:rsidR="004E4147" w:rsidRPr="004E4147" w:rsidRDefault="004E4147" w:rsidP="004E4147">
      <w:r w:rsidRPr="004E4147">
        <w:t xml:space="preserve">Availability Zones are physically separate locations within an Azure region. Each zone is equipped with independent power, cooling, and networking. Deploying resources across multiple availability zones enhances resilience against </w:t>
      </w:r>
      <w:r w:rsidR="0071605D" w:rsidRPr="004E4147">
        <w:t>Datacenter</w:t>
      </w:r>
      <w:r w:rsidRPr="004E4147">
        <w:t xml:space="preserve"> failures and ensures business continuity.</w:t>
      </w:r>
    </w:p>
    <w:p w14:paraId="3AD60025" w14:textId="77777777" w:rsidR="004E4147" w:rsidRPr="004E4147" w:rsidRDefault="004E4147" w:rsidP="004E4147">
      <w:r w:rsidRPr="004E4147">
        <w:rPr>
          <w:b/>
          <w:bCs/>
          <w:highlight w:val="yellow"/>
        </w:rPr>
        <w:t>VM Families in Azure</w:t>
      </w:r>
    </w:p>
    <w:p w14:paraId="3ED065BB" w14:textId="77777777" w:rsidR="004E4147" w:rsidRPr="004E4147" w:rsidRDefault="004E4147" w:rsidP="004E4147">
      <w:r w:rsidRPr="004E4147">
        <w:t>Azure offers a wide range of VM families tailored for specific workloads. Common VM families include:</w:t>
      </w:r>
    </w:p>
    <w:p w14:paraId="5BDB8C0D" w14:textId="77777777" w:rsidR="004E4147" w:rsidRPr="004E4147" w:rsidRDefault="004E4147" w:rsidP="004E4147">
      <w:pPr>
        <w:numPr>
          <w:ilvl w:val="0"/>
          <w:numId w:val="3"/>
        </w:numPr>
      </w:pPr>
      <w:r w:rsidRPr="004E4147">
        <w:rPr>
          <w:b/>
          <w:bCs/>
        </w:rPr>
        <w:t>General Purpose (D-series)</w:t>
      </w:r>
      <w:r w:rsidRPr="004E4147">
        <w:t>: Balanced compute, memory, and storage for general workloads.</w:t>
      </w:r>
    </w:p>
    <w:p w14:paraId="1098B5C1" w14:textId="77777777" w:rsidR="004E4147" w:rsidRPr="004E4147" w:rsidRDefault="004E4147" w:rsidP="004E4147">
      <w:pPr>
        <w:numPr>
          <w:ilvl w:val="0"/>
          <w:numId w:val="3"/>
        </w:numPr>
      </w:pPr>
      <w:r w:rsidRPr="004E4147">
        <w:rPr>
          <w:b/>
          <w:bCs/>
        </w:rPr>
        <w:t>Compute Optimized (F-series)</w:t>
      </w:r>
      <w:r w:rsidRPr="004E4147">
        <w:t>: High CPU-to-memory ratio for compute-intensive tasks.</w:t>
      </w:r>
    </w:p>
    <w:p w14:paraId="4D815739" w14:textId="77777777" w:rsidR="004E4147" w:rsidRPr="004E4147" w:rsidRDefault="004E4147" w:rsidP="004E4147">
      <w:pPr>
        <w:numPr>
          <w:ilvl w:val="0"/>
          <w:numId w:val="3"/>
        </w:numPr>
      </w:pPr>
      <w:r w:rsidRPr="004E4147">
        <w:rPr>
          <w:b/>
          <w:bCs/>
        </w:rPr>
        <w:t>Memory Optimized (E-series)</w:t>
      </w:r>
      <w:r w:rsidRPr="004E4147">
        <w:t>: Large memory capacity for in-memory applications.</w:t>
      </w:r>
    </w:p>
    <w:p w14:paraId="75FC02B1" w14:textId="77777777" w:rsidR="004E4147" w:rsidRPr="004E4147" w:rsidRDefault="004E4147" w:rsidP="004E4147">
      <w:pPr>
        <w:numPr>
          <w:ilvl w:val="0"/>
          <w:numId w:val="3"/>
        </w:numPr>
      </w:pPr>
      <w:r w:rsidRPr="004E4147">
        <w:rPr>
          <w:b/>
          <w:bCs/>
        </w:rPr>
        <w:lastRenderedPageBreak/>
        <w:t>Storage Optimized (L-series)</w:t>
      </w:r>
      <w:r w:rsidRPr="004E4147">
        <w:t>: High disk throughput and IO for database workloads.</w:t>
      </w:r>
    </w:p>
    <w:p w14:paraId="60002A19" w14:textId="77777777" w:rsidR="004E4147" w:rsidRPr="004E4147" w:rsidRDefault="004E4147" w:rsidP="004E4147">
      <w:pPr>
        <w:numPr>
          <w:ilvl w:val="0"/>
          <w:numId w:val="3"/>
        </w:numPr>
      </w:pPr>
      <w:r w:rsidRPr="004E4147">
        <w:rPr>
          <w:b/>
          <w:bCs/>
        </w:rPr>
        <w:t>GPU (NC/ND series)</w:t>
      </w:r>
      <w:r w:rsidRPr="004E4147">
        <w:t>: Accelerated graphics and AI workloads.</w:t>
      </w:r>
    </w:p>
    <w:p w14:paraId="015BED35" w14:textId="77777777" w:rsidR="004E4147" w:rsidRPr="004E4147" w:rsidRDefault="004E4147" w:rsidP="004E4147">
      <w:r w:rsidRPr="004E4147">
        <w:t xml:space="preserve">Refer to </w:t>
      </w:r>
      <w:hyperlink r:id="rId5" w:history="1">
        <w:r w:rsidRPr="004E4147">
          <w:rPr>
            <w:rStyle w:val="Hyperlink"/>
          </w:rPr>
          <w:t>Azure VM Sizes</w:t>
        </w:r>
      </w:hyperlink>
      <w:r w:rsidRPr="004E4147">
        <w:t xml:space="preserve"> for detailed information.</w:t>
      </w:r>
    </w:p>
    <w:p w14:paraId="44C4997E" w14:textId="77777777" w:rsidR="004E4147" w:rsidRPr="004E4147" w:rsidRDefault="004E4147" w:rsidP="004E4147">
      <w:r w:rsidRPr="004E4147">
        <w:rPr>
          <w:b/>
          <w:bCs/>
          <w:highlight w:val="yellow"/>
        </w:rPr>
        <w:t>Horizontal and Vertical Scaling</w:t>
      </w:r>
    </w:p>
    <w:p w14:paraId="45415F26" w14:textId="77777777" w:rsidR="004E4147" w:rsidRPr="004E4147" w:rsidRDefault="004E4147" w:rsidP="004E4147">
      <w:pPr>
        <w:numPr>
          <w:ilvl w:val="0"/>
          <w:numId w:val="4"/>
        </w:numPr>
      </w:pPr>
      <w:r w:rsidRPr="004E4147">
        <w:rPr>
          <w:b/>
          <w:bCs/>
        </w:rPr>
        <w:t>Horizontal Scaling</w:t>
      </w:r>
      <w:r w:rsidRPr="004E4147">
        <w:t>: Adding more instances of a resource to handle increased demand. For example, deploying additional VMs behind a load balancer.</w:t>
      </w:r>
    </w:p>
    <w:p w14:paraId="77EC0F9D" w14:textId="77777777" w:rsidR="004E4147" w:rsidRPr="004E4147" w:rsidRDefault="004E4147" w:rsidP="004E4147">
      <w:pPr>
        <w:numPr>
          <w:ilvl w:val="0"/>
          <w:numId w:val="4"/>
        </w:numPr>
      </w:pPr>
      <w:r w:rsidRPr="004E4147">
        <w:rPr>
          <w:b/>
          <w:bCs/>
        </w:rPr>
        <w:t>Vertical Scaling</w:t>
      </w:r>
      <w:r w:rsidRPr="004E4147">
        <w:t>: Increasing the capacity of an existing resource by adding more CPU, memory, or storage.</w:t>
      </w:r>
    </w:p>
    <w:p w14:paraId="04AA3E15" w14:textId="77777777" w:rsidR="004E4147" w:rsidRPr="004E4147" w:rsidRDefault="004E4147" w:rsidP="004E4147">
      <w:r w:rsidRPr="004E4147">
        <w:rPr>
          <w:b/>
          <w:bCs/>
          <w:highlight w:val="yellow"/>
        </w:rPr>
        <w:t>Datacenter</w:t>
      </w:r>
    </w:p>
    <w:p w14:paraId="121C5F55" w14:textId="65149CB7" w:rsidR="004E4147" w:rsidRPr="004E4147" w:rsidRDefault="004E4147" w:rsidP="004E4147">
      <w:r w:rsidRPr="004E4147">
        <w:t xml:space="preserve">Azure </w:t>
      </w:r>
      <w:r w:rsidRPr="004E4147">
        <w:t>Datacenters</w:t>
      </w:r>
      <w:r w:rsidRPr="004E4147">
        <w:t xml:space="preserve"> are physical facilities housing the hardware and software that deliver Azure services. They are designed for high reliability, security, and scalability, adhering to global compliance standards.</w:t>
      </w:r>
    </w:p>
    <w:p w14:paraId="474A65BF" w14:textId="77777777" w:rsidR="004E4147" w:rsidRPr="004E4147" w:rsidRDefault="004E4147" w:rsidP="004E4147">
      <w:r w:rsidRPr="004E4147">
        <w:rPr>
          <w:b/>
          <w:bCs/>
          <w:highlight w:val="yellow"/>
        </w:rPr>
        <w:t>Azure Calculator</w:t>
      </w:r>
    </w:p>
    <w:p w14:paraId="0C2E1FBD" w14:textId="77777777" w:rsidR="004E4147" w:rsidRPr="004E4147" w:rsidRDefault="004E4147" w:rsidP="004E4147">
      <w:r w:rsidRPr="004E4147">
        <w:t>The Azure Pricing Calculator helps estimate costs for Azure services. Users can select desired services, configure them based on requirements, and receive a cost breakdown. This tool is essential for planning and budgeting cloud expenditures.</w:t>
      </w:r>
    </w:p>
    <w:p w14:paraId="50049DB8" w14:textId="77777777" w:rsidR="004E4147" w:rsidRPr="004E4147" w:rsidRDefault="004E4147" w:rsidP="004E4147">
      <w:r w:rsidRPr="004E4147">
        <w:t xml:space="preserve">For more details, visit the </w:t>
      </w:r>
      <w:hyperlink r:id="rId6" w:history="1">
        <w:r w:rsidRPr="004E4147">
          <w:rPr>
            <w:rStyle w:val="Hyperlink"/>
          </w:rPr>
          <w:t>Azure Virtual Machines Sizes Overview</w:t>
        </w:r>
      </w:hyperlink>
      <w:r w:rsidRPr="004E4147">
        <w:t>.</w:t>
      </w:r>
    </w:p>
    <w:p w14:paraId="4AC88BC5" w14:textId="77777777" w:rsidR="00880C64" w:rsidRDefault="00880C64"/>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1EE5"/>
    <w:multiLevelType w:val="multilevel"/>
    <w:tmpl w:val="CCB8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93CC3"/>
    <w:multiLevelType w:val="multilevel"/>
    <w:tmpl w:val="97B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54CFF"/>
    <w:multiLevelType w:val="multilevel"/>
    <w:tmpl w:val="1A8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D6FCE"/>
    <w:multiLevelType w:val="multilevel"/>
    <w:tmpl w:val="093E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165702">
    <w:abstractNumId w:val="3"/>
  </w:num>
  <w:num w:numId="2" w16cid:durableId="1859738365">
    <w:abstractNumId w:val="2"/>
  </w:num>
  <w:num w:numId="3" w16cid:durableId="2073310287">
    <w:abstractNumId w:val="0"/>
  </w:num>
  <w:num w:numId="4" w16cid:durableId="502746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13"/>
    <w:rsid w:val="00216ACE"/>
    <w:rsid w:val="00430304"/>
    <w:rsid w:val="00497ADB"/>
    <w:rsid w:val="004E4147"/>
    <w:rsid w:val="00557342"/>
    <w:rsid w:val="006A0352"/>
    <w:rsid w:val="0071605D"/>
    <w:rsid w:val="00880C64"/>
    <w:rsid w:val="00996F74"/>
    <w:rsid w:val="00A345F8"/>
    <w:rsid w:val="00A63D13"/>
    <w:rsid w:val="00B45A8A"/>
    <w:rsid w:val="00C07E44"/>
    <w:rsid w:val="00D63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270F7-6FEC-4A52-B8CB-CD7C1878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147"/>
    <w:rPr>
      <w:color w:val="0563C1" w:themeColor="hyperlink"/>
      <w:u w:val="single"/>
    </w:rPr>
  </w:style>
  <w:style w:type="character" w:styleId="UnresolvedMention">
    <w:name w:val="Unresolved Mention"/>
    <w:basedOn w:val="DefaultParagraphFont"/>
    <w:uiPriority w:val="99"/>
    <w:semiHidden/>
    <w:unhideWhenUsed/>
    <w:rsid w:val="004E4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1642780">
      <w:bodyDiv w:val="1"/>
      <w:marLeft w:val="0"/>
      <w:marRight w:val="0"/>
      <w:marTop w:val="0"/>
      <w:marBottom w:val="0"/>
      <w:divBdr>
        <w:top w:val="none" w:sz="0" w:space="0" w:color="auto"/>
        <w:left w:val="none" w:sz="0" w:space="0" w:color="auto"/>
        <w:bottom w:val="none" w:sz="0" w:space="0" w:color="auto"/>
        <w:right w:val="none" w:sz="0" w:space="0" w:color="auto"/>
      </w:divBdr>
      <w:divsChild>
        <w:div w:id="988482399">
          <w:marLeft w:val="0"/>
          <w:marRight w:val="0"/>
          <w:marTop w:val="0"/>
          <w:marBottom w:val="0"/>
          <w:divBdr>
            <w:top w:val="none" w:sz="0" w:space="0" w:color="auto"/>
            <w:left w:val="none" w:sz="0" w:space="0" w:color="auto"/>
            <w:bottom w:val="none" w:sz="0" w:space="0" w:color="auto"/>
            <w:right w:val="none" w:sz="0" w:space="0" w:color="auto"/>
          </w:divBdr>
        </w:div>
        <w:div w:id="1891259172">
          <w:marLeft w:val="0"/>
          <w:marRight w:val="0"/>
          <w:marTop w:val="0"/>
          <w:marBottom w:val="0"/>
          <w:divBdr>
            <w:top w:val="none" w:sz="0" w:space="0" w:color="auto"/>
            <w:left w:val="none" w:sz="0" w:space="0" w:color="auto"/>
            <w:bottom w:val="none" w:sz="0" w:space="0" w:color="auto"/>
            <w:right w:val="none" w:sz="0" w:space="0" w:color="auto"/>
          </w:divBdr>
        </w:div>
        <w:div w:id="830945046">
          <w:marLeft w:val="0"/>
          <w:marRight w:val="0"/>
          <w:marTop w:val="0"/>
          <w:marBottom w:val="0"/>
          <w:divBdr>
            <w:top w:val="none" w:sz="0" w:space="0" w:color="auto"/>
            <w:left w:val="none" w:sz="0" w:space="0" w:color="auto"/>
            <w:bottom w:val="none" w:sz="0" w:space="0" w:color="auto"/>
            <w:right w:val="none" w:sz="0" w:space="0" w:color="auto"/>
          </w:divBdr>
        </w:div>
        <w:div w:id="1718121584">
          <w:marLeft w:val="0"/>
          <w:marRight w:val="0"/>
          <w:marTop w:val="0"/>
          <w:marBottom w:val="0"/>
          <w:divBdr>
            <w:top w:val="none" w:sz="0" w:space="0" w:color="auto"/>
            <w:left w:val="none" w:sz="0" w:space="0" w:color="auto"/>
            <w:bottom w:val="none" w:sz="0" w:space="0" w:color="auto"/>
            <w:right w:val="none" w:sz="0" w:space="0" w:color="auto"/>
          </w:divBdr>
        </w:div>
        <w:div w:id="1760639388">
          <w:marLeft w:val="0"/>
          <w:marRight w:val="0"/>
          <w:marTop w:val="0"/>
          <w:marBottom w:val="0"/>
          <w:divBdr>
            <w:top w:val="none" w:sz="0" w:space="0" w:color="auto"/>
            <w:left w:val="none" w:sz="0" w:space="0" w:color="auto"/>
            <w:bottom w:val="none" w:sz="0" w:space="0" w:color="auto"/>
            <w:right w:val="none" w:sz="0" w:space="0" w:color="auto"/>
          </w:divBdr>
        </w:div>
        <w:div w:id="1397128825">
          <w:marLeft w:val="0"/>
          <w:marRight w:val="0"/>
          <w:marTop w:val="0"/>
          <w:marBottom w:val="0"/>
          <w:divBdr>
            <w:top w:val="none" w:sz="0" w:space="0" w:color="auto"/>
            <w:left w:val="none" w:sz="0" w:space="0" w:color="auto"/>
            <w:bottom w:val="none" w:sz="0" w:space="0" w:color="auto"/>
            <w:right w:val="none" w:sz="0" w:space="0" w:color="auto"/>
          </w:divBdr>
        </w:div>
        <w:div w:id="269818429">
          <w:marLeft w:val="0"/>
          <w:marRight w:val="0"/>
          <w:marTop w:val="0"/>
          <w:marBottom w:val="0"/>
          <w:divBdr>
            <w:top w:val="none" w:sz="0" w:space="0" w:color="auto"/>
            <w:left w:val="none" w:sz="0" w:space="0" w:color="auto"/>
            <w:bottom w:val="none" w:sz="0" w:space="0" w:color="auto"/>
            <w:right w:val="none" w:sz="0" w:space="0" w:color="auto"/>
          </w:divBdr>
        </w:div>
        <w:div w:id="842822900">
          <w:marLeft w:val="0"/>
          <w:marRight w:val="0"/>
          <w:marTop w:val="0"/>
          <w:marBottom w:val="0"/>
          <w:divBdr>
            <w:top w:val="none" w:sz="0" w:space="0" w:color="auto"/>
            <w:left w:val="none" w:sz="0" w:space="0" w:color="auto"/>
            <w:bottom w:val="none" w:sz="0" w:space="0" w:color="auto"/>
            <w:right w:val="none" w:sz="0" w:space="0" w:color="auto"/>
          </w:divBdr>
        </w:div>
      </w:divsChild>
    </w:div>
    <w:div w:id="1748189449">
      <w:bodyDiv w:val="1"/>
      <w:marLeft w:val="0"/>
      <w:marRight w:val="0"/>
      <w:marTop w:val="0"/>
      <w:marBottom w:val="0"/>
      <w:divBdr>
        <w:top w:val="none" w:sz="0" w:space="0" w:color="auto"/>
        <w:left w:val="none" w:sz="0" w:space="0" w:color="auto"/>
        <w:bottom w:val="none" w:sz="0" w:space="0" w:color="auto"/>
        <w:right w:val="none" w:sz="0" w:space="0" w:color="auto"/>
      </w:divBdr>
      <w:divsChild>
        <w:div w:id="411511451">
          <w:marLeft w:val="0"/>
          <w:marRight w:val="0"/>
          <w:marTop w:val="0"/>
          <w:marBottom w:val="0"/>
          <w:divBdr>
            <w:top w:val="none" w:sz="0" w:space="0" w:color="auto"/>
            <w:left w:val="none" w:sz="0" w:space="0" w:color="auto"/>
            <w:bottom w:val="none" w:sz="0" w:space="0" w:color="auto"/>
            <w:right w:val="none" w:sz="0" w:space="0" w:color="auto"/>
          </w:divBdr>
        </w:div>
        <w:div w:id="1904829314">
          <w:marLeft w:val="0"/>
          <w:marRight w:val="0"/>
          <w:marTop w:val="0"/>
          <w:marBottom w:val="0"/>
          <w:divBdr>
            <w:top w:val="none" w:sz="0" w:space="0" w:color="auto"/>
            <w:left w:val="none" w:sz="0" w:space="0" w:color="auto"/>
            <w:bottom w:val="none" w:sz="0" w:space="0" w:color="auto"/>
            <w:right w:val="none" w:sz="0" w:space="0" w:color="auto"/>
          </w:divBdr>
        </w:div>
        <w:div w:id="563104824">
          <w:marLeft w:val="0"/>
          <w:marRight w:val="0"/>
          <w:marTop w:val="0"/>
          <w:marBottom w:val="0"/>
          <w:divBdr>
            <w:top w:val="none" w:sz="0" w:space="0" w:color="auto"/>
            <w:left w:val="none" w:sz="0" w:space="0" w:color="auto"/>
            <w:bottom w:val="none" w:sz="0" w:space="0" w:color="auto"/>
            <w:right w:val="none" w:sz="0" w:space="0" w:color="auto"/>
          </w:divBdr>
        </w:div>
        <w:div w:id="514924104">
          <w:marLeft w:val="0"/>
          <w:marRight w:val="0"/>
          <w:marTop w:val="0"/>
          <w:marBottom w:val="0"/>
          <w:divBdr>
            <w:top w:val="none" w:sz="0" w:space="0" w:color="auto"/>
            <w:left w:val="none" w:sz="0" w:space="0" w:color="auto"/>
            <w:bottom w:val="none" w:sz="0" w:space="0" w:color="auto"/>
            <w:right w:val="none" w:sz="0" w:space="0" w:color="auto"/>
          </w:divBdr>
        </w:div>
        <w:div w:id="1537232013">
          <w:marLeft w:val="0"/>
          <w:marRight w:val="0"/>
          <w:marTop w:val="0"/>
          <w:marBottom w:val="0"/>
          <w:divBdr>
            <w:top w:val="none" w:sz="0" w:space="0" w:color="auto"/>
            <w:left w:val="none" w:sz="0" w:space="0" w:color="auto"/>
            <w:bottom w:val="none" w:sz="0" w:space="0" w:color="auto"/>
            <w:right w:val="none" w:sz="0" w:space="0" w:color="auto"/>
          </w:divBdr>
        </w:div>
        <w:div w:id="1249660452">
          <w:marLeft w:val="0"/>
          <w:marRight w:val="0"/>
          <w:marTop w:val="0"/>
          <w:marBottom w:val="0"/>
          <w:divBdr>
            <w:top w:val="none" w:sz="0" w:space="0" w:color="auto"/>
            <w:left w:val="none" w:sz="0" w:space="0" w:color="auto"/>
            <w:bottom w:val="none" w:sz="0" w:space="0" w:color="auto"/>
            <w:right w:val="none" w:sz="0" w:space="0" w:color="auto"/>
          </w:divBdr>
        </w:div>
        <w:div w:id="1241253262">
          <w:marLeft w:val="0"/>
          <w:marRight w:val="0"/>
          <w:marTop w:val="0"/>
          <w:marBottom w:val="0"/>
          <w:divBdr>
            <w:top w:val="none" w:sz="0" w:space="0" w:color="auto"/>
            <w:left w:val="none" w:sz="0" w:space="0" w:color="auto"/>
            <w:bottom w:val="none" w:sz="0" w:space="0" w:color="auto"/>
            <w:right w:val="none" w:sz="0" w:space="0" w:color="auto"/>
          </w:divBdr>
        </w:div>
        <w:div w:id="756631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virtual-machines/sizes/overview?tabs=breakdownseries%2Cgeneralsizelist%2Ccomputesizelist%2Cmemorysizelist%2Cstoragesizelist%2Cgpusizelist%2Cfpgasizelist%2Chpcsizelist" TargetMode="External"/><Relationship Id="rId5" Type="http://schemas.openxmlformats.org/officeDocument/2006/relationships/hyperlink" Target="https://learn.microsoft.com/en-us/azure/virtual-machines/sizes/overview?tabs=breakdownseries%2Cgeneralsizelist%2Ccomputesizelist%2Cmemorysizelist%2Cstoragesizelist%2Cgpusizelist%2Cfpgasizelist%2Chpcsize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20</cp:revision>
  <dcterms:created xsi:type="dcterms:W3CDTF">2024-12-21T20:25:00Z</dcterms:created>
  <dcterms:modified xsi:type="dcterms:W3CDTF">2024-12-21T20:29:00Z</dcterms:modified>
</cp:coreProperties>
</file>