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65B8D" w14:textId="77777777" w:rsidR="0020426E" w:rsidRDefault="0020426E">
      <w:r>
        <w:t>Clinical Pharmacology – pps400, pps2014</w:t>
      </w:r>
    </w:p>
    <w:p w14:paraId="7ED316F2" w14:textId="77777777" w:rsidR="0020426E" w:rsidRDefault="00180ACC">
      <w:r>
        <w:t xml:space="preserve">You can only compound medications that are not commercially available </w:t>
      </w:r>
    </w:p>
    <w:p w14:paraId="03244352" w14:textId="77777777" w:rsidR="007B6576" w:rsidRDefault="005B49F6">
      <w:proofErr w:type="spellStart"/>
      <w:r>
        <w:t>Benzodiapines</w:t>
      </w:r>
      <w:proofErr w:type="spellEnd"/>
      <w:r>
        <w:t xml:space="preserve"> – long acting – clonazepam </w:t>
      </w:r>
    </w:p>
    <w:p w14:paraId="21374894" w14:textId="77777777" w:rsidR="005B49F6" w:rsidRDefault="005B49F6">
      <w:r>
        <w:tab/>
      </w:r>
      <w:r>
        <w:tab/>
        <w:t xml:space="preserve">Short acting – alprazolam, lorazepam </w:t>
      </w:r>
    </w:p>
    <w:p w14:paraId="60E81A8D" w14:textId="77777777" w:rsidR="00D21184" w:rsidRDefault="00D21184">
      <w:r>
        <w:t xml:space="preserve">Aero chamber – </w:t>
      </w:r>
      <w:proofErr w:type="spellStart"/>
      <w:r>
        <w:t>otc</w:t>
      </w:r>
      <w:proofErr w:type="spellEnd"/>
      <w:r>
        <w:t xml:space="preserve">? (board questions) </w:t>
      </w:r>
    </w:p>
    <w:p w14:paraId="434F7A53" w14:textId="77777777" w:rsidR="00D94B11" w:rsidRDefault="00D94B11">
      <w:r>
        <w:t xml:space="preserve">High fructose corn syrup </w:t>
      </w:r>
    </w:p>
    <w:p w14:paraId="5B149998" w14:textId="77777777" w:rsidR="00D21184" w:rsidRDefault="00D21184">
      <w:r>
        <w:t xml:space="preserve">Semi sterile compounding – expiration frozen 45 days </w:t>
      </w:r>
    </w:p>
    <w:p w14:paraId="40553516" w14:textId="77777777" w:rsidR="00D21184" w:rsidRDefault="00D21184">
      <w:r>
        <w:t xml:space="preserve">Poison prevention packaging act – sublingual nitroglycerin </w:t>
      </w:r>
    </w:p>
    <w:p w14:paraId="1FE250CE" w14:textId="77777777" w:rsidR="00225DFD" w:rsidRDefault="00225DFD">
      <w:r>
        <w:t xml:space="preserve">Adjust watch as soon as you get on the plane for your new </w:t>
      </w:r>
      <w:proofErr w:type="spellStart"/>
      <w:r>
        <w:t>timezone</w:t>
      </w:r>
      <w:proofErr w:type="spellEnd"/>
      <w:r>
        <w:t xml:space="preserve"> </w:t>
      </w:r>
    </w:p>
    <w:p w14:paraId="4842B113" w14:textId="77777777" w:rsidR="005B49F6" w:rsidRDefault="005B49F6">
      <w:r>
        <w:t xml:space="preserve">Tramadol – schedule IV – </w:t>
      </w:r>
      <w:proofErr w:type="spellStart"/>
      <w:r>
        <w:t>aug</w:t>
      </w:r>
      <w:proofErr w:type="spellEnd"/>
      <w:r>
        <w:t xml:space="preserve"> 18, 2014</w:t>
      </w:r>
    </w:p>
    <w:p w14:paraId="418FEF42" w14:textId="09152B67" w:rsidR="00596A45" w:rsidRDefault="00596A45">
      <w:r>
        <w:t>Vicodin – 10/6</w:t>
      </w:r>
      <w:bookmarkStart w:id="0" w:name="_GoBack"/>
      <w:bookmarkEnd w:id="0"/>
      <w:r>
        <w:t xml:space="preserve"> becomes controlled </w:t>
      </w:r>
      <w:r w:rsidR="004810C5">
        <w:t>II</w:t>
      </w:r>
    </w:p>
    <w:p w14:paraId="49DA8A26" w14:textId="77777777" w:rsidR="00596A45" w:rsidRDefault="00596A45">
      <w:r>
        <w:t xml:space="preserve">Metoclopramide – 30 min before meals, diabetic </w:t>
      </w:r>
      <w:proofErr w:type="spellStart"/>
      <w:r>
        <w:t>gastoparesis</w:t>
      </w:r>
      <w:proofErr w:type="spellEnd"/>
      <w:r>
        <w:t xml:space="preserve">, lactation </w:t>
      </w:r>
      <w:r w:rsidR="00333D7E">
        <w:t xml:space="preserve">induction </w:t>
      </w:r>
    </w:p>
    <w:p w14:paraId="5FF29F1B" w14:textId="77777777" w:rsidR="00596A45" w:rsidRDefault="00596A45">
      <w:r>
        <w:t xml:space="preserve">Fluconazole – cyp3a4 inhibitor </w:t>
      </w:r>
    </w:p>
    <w:p w14:paraId="79CEBDB3" w14:textId="77777777" w:rsidR="005867EB" w:rsidRDefault="005867EB">
      <w:r>
        <w:t xml:space="preserve">Topamax – paresthesia 21-40% depending on dose </w:t>
      </w:r>
    </w:p>
    <w:p w14:paraId="0B5075A4" w14:textId="77777777" w:rsidR="003400E6" w:rsidRDefault="003400E6">
      <w:r>
        <w:t xml:space="preserve">Thyroid – 1:14 liothyronine to levothyroxine, t3 has more stimulant like effects </w:t>
      </w:r>
    </w:p>
    <w:p w14:paraId="28BDC090" w14:textId="77777777" w:rsidR="005867EB" w:rsidRDefault="005867EB">
      <w:r>
        <w:t xml:space="preserve">Lamotrigine – rash - 7-14% of patients develop a rash </w:t>
      </w:r>
      <w:r w:rsidR="003400E6">
        <w:t>(slow titration to avoid rash, pharmacist letter)</w:t>
      </w:r>
    </w:p>
    <w:p w14:paraId="12911FB2" w14:textId="77777777" w:rsidR="00596A45" w:rsidRDefault="00596A45">
      <w:r>
        <w:t>Statins – metabolized by cyp3a4</w:t>
      </w:r>
    </w:p>
    <w:p w14:paraId="647998CC" w14:textId="77777777" w:rsidR="00596A45" w:rsidRPr="00A56DDD" w:rsidRDefault="00596A45">
      <w:pPr>
        <w:rPr>
          <w:rFonts w:ascii="Calibri" w:hAnsi="Calibri"/>
        </w:rPr>
      </w:pPr>
      <w:r w:rsidRPr="00A56DDD">
        <w:rPr>
          <w:rFonts w:ascii="Calibri" w:hAnsi="Calibri"/>
        </w:rPr>
        <w:t xml:space="preserve">Acetazolamide – </w:t>
      </w:r>
      <w:r w:rsidR="00234636" w:rsidRPr="00A56DDD">
        <w:rPr>
          <w:rFonts w:ascii="Calibri" w:hAnsi="Calibri"/>
        </w:rPr>
        <w:t xml:space="preserve">is commonly used for </w:t>
      </w:r>
      <w:r w:rsidRPr="00A56DDD">
        <w:rPr>
          <w:rFonts w:ascii="Calibri" w:hAnsi="Calibri"/>
        </w:rPr>
        <w:t>altitude sickness</w:t>
      </w:r>
      <w:r w:rsidR="00234636" w:rsidRPr="00A56DDD">
        <w:rPr>
          <w:rFonts w:ascii="Calibri" w:hAnsi="Calibri"/>
        </w:rPr>
        <w:t xml:space="preserve"> to</w:t>
      </w:r>
      <w:r w:rsidRPr="00A56DDD">
        <w:rPr>
          <w:rFonts w:ascii="Calibri" w:hAnsi="Calibri"/>
        </w:rPr>
        <w:t xml:space="preserve"> </w:t>
      </w:r>
      <w:r w:rsidR="001F0C3D" w:rsidRPr="00A56DDD">
        <w:rPr>
          <w:rFonts w:ascii="Calibri" w:hAnsi="Calibri"/>
        </w:rPr>
        <w:t>increase ventilation and increase oxygen binding to hemoglobin</w:t>
      </w:r>
      <w:r w:rsidR="00234636" w:rsidRPr="00A56DDD">
        <w:rPr>
          <w:rFonts w:ascii="Calibri" w:hAnsi="Calibri"/>
        </w:rPr>
        <w:t xml:space="preserve"> but is a diuretic (</w:t>
      </w:r>
      <w:r w:rsidR="001F0C3D" w:rsidRPr="00A56DDD">
        <w:rPr>
          <w:rFonts w:ascii="Calibri" w:hAnsi="Calibri"/>
        </w:rPr>
        <w:t xml:space="preserve">altitude sickness – headaches, nausea, fatigue, dizziness, SOB) </w:t>
      </w:r>
    </w:p>
    <w:p w14:paraId="27E7BF99" w14:textId="77777777" w:rsidR="00596A45" w:rsidRPr="00A56DDD" w:rsidRDefault="00596A45">
      <w:pPr>
        <w:rPr>
          <w:rFonts w:ascii="Calibri" w:hAnsi="Calibri"/>
        </w:rPr>
      </w:pPr>
      <w:r w:rsidRPr="00A56DDD">
        <w:rPr>
          <w:rFonts w:ascii="Calibri" w:hAnsi="Calibri"/>
        </w:rPr>
        <w:t xml:space="preserve">Cyclobenzaprine – dry mouth, drowsiness </w:t>
      </w:r>
    </w:p>
    <w:p w14:paraId="00AE233B" w14:textId="77777777" w:rsidR="00596A45" w:rsidRPr="00A56DDD" w:rsidRDefault="00596A45">
      <w:pPr>
        <w:rPr>
          <w:rFonts w:ascii="Calibri" w:hAnsi="Calibri"/>
        </w:rPr>
      </w:pPr>
      <w:proofErr w:type="spellStart"/>
      <w:r w:rsidRPr="00A56DDD">
        <w:rPr>
          <w:rFonts w:ascii="Calibri" w:hAnsi="Calibri"/>
        </w:rPr>
        <w:t>Arava</w:t>
      </w:r>
      <w:proofErr w:type="spellEnd"/>
      <w:r w:rsidRPr="00A56DDD">
        <w:rPr>
          <w:rFonts w:ascii="Calibri" w:hAnsi="Calibri"/>
        </w:rPr>
        <w:t xml:space="preserve"> </w:t>
      </w:r>
    </w:p>
    <w:p w14:paraId="338A4F53" w14:textId="77777777" w:rsidR="00596A45" w:rsidRPr="00A56DDD" w:rsidRDefault="004036B3">
      <w:pPr>
        <w:rPr>
          <w:rFonts w:ascii="Calibri" w:hAnsi="Calibri"/>
        </w:rPr>
      </w:pPr>
      <w:r w:rsidRPr="00A56DDD">
        <w:rPr>
          <w:rFonts w:ascii="Calibri" w:hAnsi="Calibri"/>
        </w:rPr>
        <w:t xml:space="preserve">1% - 10mg/ml, 100% solution = 1gm/1ml or 1000mg/1ml </w:t>
      </w:r>
    </w:p>
    <w:p w14:paraId="5C11E22B" w14:textId="77777777" w:rsidR="00596A45" w:rsidRPr="00A56DDD" w:rsidRDefault="00596A45">
      <w:pPr>
        <w:rPr>
          <w:rFonts w:ascii="Calibri" w:hAnsi="Calibri"/>
        </w:rPr>
      </w:pPr>
      <w:proofErr w:type="spellStart"/>
      <w:r w:rsidRPr="00A56DDD">
        <w:rPr>
          <w:rFonts w:ascii="Calibri" w:hAnsi="Calibri"/>
        </w:rPr>
        <w:t>Mirtazepine</w:t>
      </w:r>
      <w:proofErr w:type="spellEnd"/>
      <w:r w:rsidRPr="00A56DDD">
        <w:rPr>
          <w:rFonts w:ascii="Calibri" w:hAnsi="Calibri"/>
        </w:rPr>
        <w:t xml:space="preserve"> – for tremor </w:t>
      </w:r>
    </w:p>
    <w:p w14:paraId="351E67BF" w14:textId="77777777" w:rsidR="00596A45" w:rsidRPr="00A56DDD" w:rsidRDefault="00596A45">
      <w:pPr>
        <w:rPr>
          <w:rFonts w:ascii="Calibri" w:hAnsi="Calibri"/>
        </w:rPr>
      </w:pPr>
      <w:r w:rsidRPr="00A56DDD">
        <w:rPr>
          <w:rFonts w:ascii="Calibri" w:hAnsi="Calibri"/>
        </w:rPr>
        <w:t xml:space="preserve">Amiodarone – 37% by weight iodine </w:t>
      </w:r>
    </w:p>
    <w:p w14:paraId="6A7EDD8E" w14:textId="77777777" w:rsidR="0007773F" w:rsidRPr="00A56DDD" w:rsidRDefault="0007773F">
      <w:pPr>
        <w:rPr>
          <w:rFonts w:ascii="Calibri" w:hAnsi="Calibri"/>
        </w:rPr>
      </w:pPr>
      <w:proofErr w:type="spellStart"/>
      <w:r w:rsidRPr="00A56DDD">
        <w:rPr>
          <w:rFonts w:ascii="Calibri" w:hAnsi="Calibri"/>
        </w:rPr>
        <w:t>Cavediolol</w:t>
      </w:r>
      <w:proofErr w:type="spellEnd"/>
      <w:r w:rsidRPr="00A56DDD">
        <w:rPr>
          <w:rFonts w:ascii="Calibri" w:hAnsi="Calibri"/>
        </w:rPr>
        <w:t xml:space="preserve"> – blood pressure, heart failure </w:t>
      </w:r>
    </w:p>
    <w:p w14:paraId="20068241" w14:textId="77777777" w:rsidR="00D067E6" w:rsidRPr="00A56DDD" w:rsidRDefault="00D067E6" w:rsidP="00D067E6">
      <w:pPr>
        <w:pStyle w:val="headinganchor"/>
        <w:rPr>
          <w:rFonts w:ascii="Calibri" w:hAnsi="Calibri"/>
          <w:sz w:val="22"/>
          <w:szCs w:val="22"/>
        </w:rPr>
      </w:pPr>
      <w:r w:rsidRPr="00A56DDD">
        <w:rPr>
          <w:rStyle w:val="h2"/>
          <w:rFonts w:ascii="Calibri" w:hAnsi="Calibri"/>
          <w:sz w:val="22"/>
          <w:szCs w:val="22"/>
        </w:rPr>
        <w:t>Cardiovascular effects of beta blockers</w:t>
      </w:r>
      <w:r w:rsidRPr="00A56DDD">
        <w:rPr>
          <w:rFonts w:ascii="Calibri" w:hAnsi="Calibri"/>
          <w:sz w:val="22"/>
          <w:szCs w:val="22"/>
        </w:rPr>
        <w:t> — </w:t>
      </w:r>
      <w:r w:rsidR="00D3502F">
        <w:rPr>
          <w:rFonts w:ascii="Calibri" w:hAnsi="Calibri"/>
          <w:sz w:val="22"/>
          <w:szCs w:val="22"/>
        </w:rPr>
        <w:t>decrease</w:t>
      </w:r>
      <w:r w:rsidRPr="00A56DDD">
        <w:rPr>
          <w:rFonts w:ascii="Calibri" w:hAnsi="Calibri"/>
          <w:sz w:val="22"/>
          <w:szCs w:val="22"/>
        </w:rPr>
        <w:t xml:space="preserve"> myocardi</w:t>
      </w:r>
      <w:r w:rsidR="00360DC5" w:rsidRPr="00A56DDD">
        <w:rPr>
          <w:rFonts w:ascii="Calibri" w:hAnsi="Calibri"/>
          <w:sz w:val="22"/>
          <w:szCs w:val="22"/>
        </w:rPr>
        <w:t xml:space="preserve">al oxygen demand. The </w:t>
      </w:r>
      <w:r w:rsidRPr="00A56DDD">
        <w:rPr>
          <w:rFonts w:ascii="Calibri" w:hAnsi="Calibri"/>
          <w:sz w:val="22"/>
          <w:szCs w:val="22"/>
        </w:rPr>
        <w:t>heart rate, contractility, a</w:t>
      </w:r>
      <w:r w:rsidR="00360DC5" w:rsidRPr="00A56DDD">
        <w:rPr>
          <w:rFonts w:ascii="Calibri" w:hAnsi="Calibri"/>
          <w:sz w:val="22"/>
          <w:szCs w:val="22"/>
        </w:rPr>
        <w:t xml:space="preserve">nd left ventricular wall stress </w:t>
      </w:r>
      <w:r w:rsidRPr="00A56DDD">
        <w:rPr>
          <w:rFonts w:ascii="Calibri" w:hAnsi="Calibri"/>
          <w:sz w:val="22"/>
          <w:szCs w:val="22"/>
        </w:rPr>
        <w:t>is diminished by beta blockade. The decrease in wall stress is mediated in part by the antihypertensive action of these drugs.</w:t>
      </w:r>
    </w:p>
    <w:p w14:paraId="34BFC025" w14:textId="77777777" w:rsidR="0007773F" w:rsidRPr="00A56DDD" w:rsidRDefault="00234636" w:rsidP="00D3502F">
      <w:pPr>
        <w:rPr>
          <w:rFonts w:ascii="Calibri" w:hAnsi="Calibri"/>
        </w:rPr>
      </w:pPr>
      <w:r w:rsidRPr="00A56DDD">
        <w:rPr>
          <w:rFonts w:ascii="Calibri" w:hAnsi="Calibri"/>
        </w:rPr>
        <w:lastRenderedPageBreak/>
        <w:t>Some beta blockers have intrinsic sympathomimetic activity (ISA) also known as partial agonist activity causing low grade beta stimulation at rest but acting as a typical beta blocker when sympathetic activity is high.</w:t>
      </w:r>
      <w:r w:rsidR="00D067E6" w:rsidRPr="00A56DDD">
        <w:rPr>
          <w:rFonts w:ascii="Calibri" w:hAnsi="Calibri"/>
        </w:rPr>
        <w:t xml:space="preserve"> reduction in the exercise heart rate that is of primary importance. </w:t>
      </w:r>
    </w:p>
    <w:p w14:paraId="3B3B1EB0" w14:textId="77777777" w:rsidR="00360DC5" w:rsidRPr="00A56DDD" w:rsidRDefault="00B0515B" w:rsidP="00360DC5">
      <w:pPr>
        <w:rPr>
          <w:rFonts w:ascii="Calibri" w:hAnsi="Calibri" w:cs="Arial"/>
          <w:color w:val="336633"/>
          <w:u w:val="single"/>
        </w:rPr>
      </w:pPr>
      <w:r w:rsidRPr="00A56DDD">
        <w:rPr>
          <w:rStyle w:val="h14"/>
          <w:rFonts w:ascii="Calibri" w:hAnsi="Calibri" w:cs="Arial"/>
        </w:rPr>
        <w:t>TYPES OF CALCIUM CHANNEL BLOCKERS</w:t>
      </w:r>
      <w:r w:rsidR="00360DC5" w:rsidRPr="00A56DDD">
        <w:rPr>
          <w:rFonts w:ascii="Calibri" w:hAnsi="Calibri" w:cs="Arial"/>
        </w:rPr>
        <w:t> — T</w:t>
      </w:r>
      <w:r w:rsidRPr="00A56DDD">
        <w:rPr>
          <w:rFonts w:ascii="Calibri" w:hAnsi="Calibri" w:cs="Arial"/>
        </w:rPr>
        <w:t>he dihydropyridines</w:t>
      </w:r>
      <w:r w:rsidR="00D3502F">
        <w:rPr>
          <w:rFonts w:ascii="Calibri" w:hAnsi="Calibri" w:cs="Arial"/>
        </w:rPr>
        <w:t xml:space="preserve"> </w:t>
      </w:r>
      <w:r w:rsidR="00D3502F" w:rsidRPr="00A56DDD">
        <w:rPr>
          <w:rFonts w:ascii="Calibri" w:eastAsia="Times New Roman" w:hAnsi="Calibri" w:cs="Arial"/>
        </w:rPr>
        <w:t>(nifedipine, amlodipine, felodipine)</w:t>
      </w:r>
      <w:r w:rsidRPr="00A56DDD">
        <w:rPr>
          <w:rFonts w:ascii="Calibri" w:hAnsi="Calibri" w:cs="Arial"/>
        </w:rPr>
        <w:t>, which are predominantly vasodilator; an</w:t>
      </w:r>
      <w:r w:rsidR="00D3502F">
        <w:rPr>
          <w:rFonts w:ascii="Calibri" w:hAnsi="Calibri" w:cs="Arial"/>
        </w:rPr>
        <w:t xml:space="preserve">d the non-dihydropyridines </w:t>
      </w:r>
      <w:r w:rsidRPr="00A56DDD">
        <w:rPr>
          <w:rFonts w:ascii="Calibri" w:hAnsi="Calibri" w:cs="Arial"/>
        </w:rPr>
        <w:t xml:space="preserve"> </w:t>
      </w:r>
      <w:r w:rsidR="00D3502F">
        <w:rPr>
          <w:rFonts w:ascii="Calibri" w:hAnsi="Calibri" w:cs="Arial"/>
        </w:rPr>
        <w:t>(</w:t>
      </w:r>
      <w:hyperlink r:id="rId5" w:history="1">
        <w:r w:rsidRPr="00A56DDD">
          <w:rPr>
            <w:rFonts w:ascii="Calibri" w:hAnsi="Calibri" w:cs="Arial"/>
            <w:color w:val="336633"/>
            <w:u w:val="single"/>
          </w:rPr>
          <w:t>verapamil</w:t>
        </w:r>
      </w:hyperlink>
      <w:r w:rsidRPr="00A56DDD">
        <w:rPr>
          <w:rFonts w:ascii="Calibri" w:hAnsi="Calibri" w:cs="Arial"/>
        </w:rPr>
        <w:t xml:space="preserve"> and </w:t>
      </w:r>
      <w:hyperlink r:id="rId6" w:history="1">
        <w:r w:rsidRPr="00A56DDD">
          <w:rPr>
            <w:rFonts w:ascii="Calibri" w:hAnsi="Calibri" w:cs="Arial"/>
            <w:color w:val="336633"/>
            <w:u w:val="single"/>
          </w:rPr>
          <w:t>diltiazem</w:t>
        </w:r>
      </w:hyperlink>
      <w:r w:rsidR="00D3502F">
        <w:rPr>
          <w:rFonts w:ascii="Calibri" w:hAnsi="Calibri" w:cs="Arial"/>
          <w:color w:val="336633"/>
          <w:u w:val="single"/>
        </w:rPr>
        <w:t>)</w:t>
      </w:r>
      <w:r w:rsidRPr="00A56DDD">
        <w:rPr>
          <w:rFonts w:ascii="Calibri" w:hAnsi="Calibri" w:cs="Arial"/>
        </w:rPr>
        <w:t>, which reduce vascular permeability and affect cardia</w:t>
      </w:r>
      <w:r w:rsidR="00360DC5" w:rsidRPr="00A56DDD">
        <w:rPr>
          <w:rFonts w:ascii="Calibri" w:hAnsi="Calibri" w:cs="Arial"/>
        </w:rPr>
        <w:t>c contractility and conduction</w:t>
      </w:r>
    </w:p>
    <w:p w14:paraId="66151835" w14:textId="77777777" w:rsidR="00FB4027" w:rsidRPr="00A56DDD" w:rsidRDefault="00FB4027">
      <w:pPr>
        <w:rPr>
          <w:rFonts w:ascii="Calibri" w:hAnsi="Calibri"/>
        </w:rPr>
      </w:pPr>
      <w:r w:rsidRPr="00A56DDD">
        <w:rPr>
          <w:rFonts w:ascii="Calibri" w:hAnsi="Calibri"/>
        </w:rPr>
        <w:t xml:space="preserve">Indomethacin – </w:t>
      </w:r>
      <w:proofErr w:type="spellStart"/>
      <w:r w:rsidRPr="00A56DDD">
        <w:rPr>
          <w:rFonts w:ascii="Calibri" w:hAnsi="Calibri"/>
        </w:rPr>
        <w:t>nsaid</w:t>
      </w:r>
      <w:proofErr w:type="spellEnd"/>
      <w:r w:rsidRPr="00A56DDD">
        <w:rPr>
          <w:rFonts w:ascii="Calibri" w:hAnsi="Calibri"/>
        </w:rPr>
        <w:t xml:space="preserve"> that Michael </w:t>
      </w:r>
      <w:proofErr w:type="spellStart"/>
      <w:r w:rsidRPr="00A56DDD">
        <w:rPr>
          <w:rFonts w:ascii="Calibri" w:hAnsi="Calibri"/>
        </w:rPr>
        <w:t>robinson</w:t>
      </w:r>
      <w:proofErr w:type="spellEnd"/>
      <w:r w:rsidRPr="00A56DDD">
        <w:rPr>
          <w:rFonts w:ascii="Calibri" w:hAnsi="Calibri"/>
        </w:rPr>
        <w:t xml:space="preserve"> hurt his kidneys with.</w:t>
      </w:r>
    </w:p>
    <w:p w14:paraId="524E9407" w14:textId="77777777" w:rsidR="00B0515B" w:rsidRPr="00A56DDD" w:rsidRDefault="00FB4027">
      <w:pPr>
        <w:rPr>
          <w:rFonts w:ascii="Calibri" w:hAnsi="Calibri"/>
        </w:rPr>
      </w:pPr>
      <w:r w:rsidRPr="00A56DDD">
        <w:rPr>
          <w:rFonts w:ascii="Calibri" w:hAnsi="Calibri"/>
        </w:rPr>
        <w:t xml:space="preserve">Nifedipine </w:t>
      </w:r>
      <w:proofErr w:type="spellStart"/>
      <w:r w:rsidRPr="00A56DDD">
        <w:rPr>
          <w:rFonts w:ascii="Calibri" w:hAnsi="Calibri"/>
        </w:rPr>
        <w:t>er</w:t>
      </w:r>
      <w:proofErr w:type="spellEnd"/>
      <w:r w:rsidRPr="00A56DDD">
        <w:rPr>
          <w:rFonts w:ascii="Calibri" w:hAnsi="Calibri"/>
        </w:rPr>
        <w:t xml:space="preserve"> – used for premature labor </w:t>
      </w:r>
    </w:p>
    <w:p w14:paraId="2B91A42A" w14:textId="77777777" w:rsidR="00B0515B" w:rsidRPr="00A56DDD" w:rsidRDefault="00B0515B">
      <w:pPr>
        <w:rPr>
          <w:rFonts w:ascii="Calibri" w:hAnsi="Calibri"/>
        </w:rPr>
      </w:pPr>
      <w:r w:rsidRPr="00A56DDD">
        <w:rPr>
          <w:rFonts w:ascii="Calibri" w:hAnsi="Calibri"/>
        </w:rPr>
        <w:t>Differe</w:t>
      </w:r>
      <w:r w:rsidR="00D3502F">
        <w:rPr>
          <w:rFonts w:ascii="Calibri" w:hAnsi="Calibri"/>
        </w:rPr>
        <w:t>nt reference products a</w:t>
      </w:r>
      <w:r w:rsidRPr="00A56DDD">
        <w:rPr>
          <w:rFonts w:ascii="Calibri" w:hAnsi="Calibri"/>
        </w:rPr>
        <w:t xml:space="preserve">re not AB rated and their might be a problem with bioequivalence. </w:t>
      </w:r>
    </w:p>
    <w:p w14:paraId="0D53AE03" w14:textId="77777777" w:rsidR="00B0515B" w:rsidRPr="00A56DDD" w:rsidRDefault="00B0515B">
      <w:r w:rsidRPr="00A56DDD">
        <w:rPr>
          <w:rFonts w:ascii="Calibri" w:hAnsi="Calibri"/>
        </w:rPr>
        <w:t>Nifedipine</w:t>
      </w:r>
      <w:r w:rsidRPr="00A56DDD">
        <w:t xml:space="preserve"> – </w:t>
      </w:r>
      <w:proofErr w:type="spellStart"/>
      <w:r w:rsidRPr="00A56DDD">
        <w:t>adalat</w:t>
      </w:r>
      <w:proofErr w:type="spellEnd"/>
      <w:r w:rsidRPr="00A56DDD">
        <w:t xml:space="preserve"> cc, Procardia xl </w:t>
      </w:r>
    </w:p>
    <w:p w14:paraId="5E4758E4" w14:textId="77777777" w:rsidR="00B0515B" w:rsidRPr="00A56DDD" w:rsidRDefault="00B0515B">
      <w:r w:rsidRPr="00A56DDD">
        <w:t xml:space="preserve">Verapamil – </w:t>
      </w:r>
      <w:proofErr w:type="spellStart"/>
      <w:r w:rsidRPr="00A56DDD">
        <w:t>calan</w:t>
      </w:r>
      <w:proofErr w:type="spellEnd"/>
      <w:r w:rsidRPr="00A56DDD">
        <w:t xml:space="preserve"> </w:t>
      </w:r>
    </w:p>
    <w:p w14:paraId="722A1EAF" w14:textId="77777777" w:rsidR="00B0515B" w:rsidRPr="00A56DDD" w:rsidRDefault="00B0515B">
      <w:r w:rsidRPr="00A56DDD">
        <w:t xml:space="preserve">Diltiazem – Cardizem, </w:t>
      </w:r>
      <w:proofErr w:type="spellStart"/>
      <w:r w:rsidRPr="00A56DDD">
        <w:t>cartia</w:t>
      </w:r>
      <w:proofErr w:type="spellEnd"/>
      <w:r w:rsidRPr="00A56DDD">
        <w:t xml:space="preserve">, </w:t>
      </w:r>
      <w:proofErr w:type="spellStart"/>
      <w:r w:rsidRPr="00A56DDD">
        <w:t>dilacor</w:t>
      </w:r>
      <w:proofErr w:type="spellEnd"/>
      <w:r w:rsidRPr="00A56DDD">
        <w:t xml:space="preserve">, </w:t>
      </w:r>
      <w:proofErr w:type="spellStart"/>
      <w:r w:rsidRPr="00A56DDD">
        <w:t>tiazac</w:t>
      </w:r>
      <w:proofErr w:type="spellEnd"/>
      <w:r w:rsidRPr="00A56DDD">
        <w:t xml:space="preserve"> </w:t>
      </w:r>
      <w:r w:rsidR="004245F2" w:rsidRPr="00A56DDD">
        <w:t>– side effects constipation</w:t>
      </w:r>
    </w:p>
    <w:p w14:paraId="54E80314" w14:textId="77777777" w:rsidR="00CD151E" w:rsidRPr="00A56DDD" w:rsidRDefault="00FB4027" w:rsidP="004036B3">
      <w:r w:rsidRPr="00A56DDD">
        <w:t>Preeclampsia – sever hypertension in pregnancy due to hypoperfusion of the fetus</w:t>
      </w:r>
    </w:p>
    <w:p w14:paraId="63CAF87F" w14:textId="77777777" w:rsidR="00CD151E" w:rsidRPr="00A56DDD" w:rsidRDefault="00CD151E" w:rsidP="004036B3">
      <w:r w:rsidRPr="00A56DDD">
        <w:t>Doxycycline monohydrate (</w:t>
      </w:r>
      <w:proofErr w:type="spellStart"/>
      <w:r w:rsidRPr="00A56DDD">
        <w:t>monodox</w:t>
      </w:r>
      <w:proofErr w:type="spellEnd"/>
      <w:r w:rsidRPr="00A56DDD">
        <w:t xml:space="preserve">) vs doxycycline </w:t>
      </w:r>
      <w:proofErr w:type="spellStart"/>
      <w:r w:rsidRPr="00A56DDD">
        <w:t>hyclate</w:t>
      </w:r>
      <w:proofErr w:type="spellEnd"/>
      <w:r w:rsidRPr="00A56DDD">
        <w:t xml:space="preserve"> (</w:t>
      </w:r>
      <w:proofErr w:type="spellStart"/>
      <w:r w:rsidRPr="00A56DDD">
        <w:t>vibramycin</w:t>
      </w:r>
      <w:proofErr w:type="spellEnd"/>
      <w:r w:rsidRPr="00A56DDD">
        <w:t xml:space="preserve">) </w:t>
      </w:r>
    </w:p>
    <w:p w14:paraId="7CABFEFE" w14:textId="77777777" w:rsidR="00CD151E" w:rsidRPr="00A56DDD" w:rsidRDefault="00CD151E" w:rsidP="00CD151E">
      <w:pPr>
        <w:ind w:left="720"/>
      </w:pPr>
      <w:r w:rsidRPr="00A56DDD">
        <w:t xml:space="preserve">Both formulations are equally effective but doxycycline monohydrate may cause less upset stomach due to slower dissolution.  The bioavailability of doxycycline monohydrate may be lower at high stomach </w:t>
      </w:r>
      <w:proofErr w:type="spellStart"/>
      <w:r w:rsidRPr="00A56DDD">
        <w:t>ph</w:t>
      </w:r>
      <w:proofErr w:type="spellEnd"/>
      <w:r w:rsidRPr="00A56DDD">
        <w:t xml:space="preserve"> thus patients on acid suppressive therapy or gastric bypass may absorb less drug.  Recommend using doxycycline </w:t>
      </w:r>
      <w:proofErr w:type="spellStart"/>
      <w:r w:rsidRPr="00A56DDD">
        <w:t>hyclate</w:t>
      </w:r>
      <w:proofErr w:type="spellEnd"/>
      <w:r w:rsidRPr="00A56DDD">
        <w:t xml:space="preserve"> in most cases.  Take with food if it upsets the stomach. </w:t>
      </w:r>
    </w:p>
    <w:p w14:paraId="6D6254D3" w14:textId="77777777" w:rsidR="00CD151E" w:rsidRPr="00A56DDD" w:rsidRDefault="00CD151E" w:rsidP="004036B3">
      <w:r w:rsidRPr="00A56DDD">
        <w:t xml:space="preserve">Hydroxyzine – Vistaril (hydroxyzine pamoate) vs Atarax (hydroxyzine HCL) </w:t>
      </w:r>
    </w:p>
    <w:p w14:paraId="705D1AE9" w14:textId="77777777" w:rsidR="00CD151E" w:rsidRPr="00A56DDD" w:rsidRDefault="00CD151E" w:rsidP="00FE7896">
      <w:pPr>
        <w:ind w:left="720"/>
      </w:pPr>
      <w:r w:rsidRPr="00A56DDD">
        <w:t xml:space="preserve">No significant clinical difference.  Vistaril was originally the injectable formulation thus was used for anxiety.  While </w:t>
      </w:r>
      <w:proofErr w:type="spellStart"/>
      <w:r w:rsidRPr="00A56DDD">
        <w:t>atarax</w:t>
      </w:r>
      <w:proofErr w:type="spellEnd"/>
      <w:r w:rsidRPr="00A56DDD">
        <w:t xml:space="preserve"> was the tablet formulation and used for itch.  Both medications are equally as effective but it has be taught for ages that </w:t>
      </w:r>
      <w:proofErr w:type="spellStart"/>
      <w:r w:rsidRPr="00A56DDD">
        <w:t>vistaril</w:t>
      </w:r>
      <w:proofErr w:type="spellEnd"/>
      <w:r w:rsidRPr="00A56DDD">
        <w:t xml:space="preserve"> is for anxiety and </w:t>
      </w:r>
      <w:proofErr w:type="spellStart"/>
      <w:r w:rsidRPr="00A56DDD">
        <w:t>atarax</w:t>
      </w:r>
      <w:proofErr w:type="spellEnd"/>
      <w:r w:rsidRPr="00A56DDD">
        <w:t xml:space="preserve"> is for itch.</w:t>
      </w:r>
    </w:p>
    <w:p w14:paraId="3EDE4B04" w14:textId="77777777" w:rsidR="00CD151E" w:rsidRPr="00A56DDD" w:rsidRDefault="00CD151E" w:rsidP="004036B3">
      <w:proofErr w:type="spellStart"/>
      <w:r w:rsidRPr="00A56DDD">
        <w:t>Orapred</w:t>
      </w:r>
      <w:proofErr w:type="spellEnd"/>
      <w:r w:rsidR="00FE7896" w:rsidRPr="00A56DDD">
        <w:t>, Pediapred</w:t>
      </w:r>
      <w:r w:rsidRPr="00A56DDD">
        <w:t xml:space="preserve"> vs </w:t>
      </w:r>
      <w:proofErr w:type="spellStart"/>
      <w:r w:rsidRPr="00A56DDD">
        <w:t>Prelone</w:t>
      </w:r>
      <w:proofErr w:type="spellEnd"/>
      <w:r w:rsidRPr="00A56DDD">
        <w:t xml:space="preserve"> </w:t>
      </w:r>
    </w:p>
    <w:p w14:paraId="70F0A15B" w14:textId="77777777" w:rsidR="00CD151E" w:rsidRPr="00A56DDD" w:rsidRDefault="00FE7896" w:rsidP="00FE7896">
      <w:pPr>
        <w:ind w:left="720"/>
      </w:pPr>
      <w:r w:rsidRPr="00A56DDD">
        <w:t>A</w:t>
      </w:r>
      <w:r w:rsidR="00CD151E" w:rsidRPr="00A56DDD">
        <w:t xml:space="preserve">ll oral prednisolone products are distasteful.  </w:t>
      </w:r>
      <w:proofErr w:type="spellStart"/>
      <w:r w:rsidR="00CD151E" w:rsidRPr="00A56DDD">
        <w:t>Prelone</w:t>
      </w:r>
      <w:proofErr w:type="spellEnd"/>
      <w:r w:rsidR="00CD151E" w:rsidRPr="00A56DDD">
        <w:t xml:space="preserve"> is the least palatable potentially due to the alcohol.  </w:t>
      </w:r>
      <w:r w:rsidR="00360DC5" w:rsidRPr="00A56DDD">
        <w:t xml:space="preserve">If the choice is ambiguous stick with </w:t>
      </w:r>
      <w:proofErr w:type="spellStart"/>
      <w:r w:rsidR="00360DC5" w:rsidRPr="00A56DDD">
        <w:t>orapred</w:t>
      </w:r>
      <w:proofErr w:type="spellEnd"/>
      <w:r w:rsidR="00360DC5" w:rsidRPr="00A56DDD">
        <w:t>/</w:t>
      </w:r>
      <w:proofErr w:type="spellStart"/>
      <w:r w:rsidR="00360DC5" w:rsidRPr="00A56DDD">
        <w:t>pediapred</w:t>
      </w:r>
      <w:proofErr w:type="spellEnd"/>
      <w:r w:rsidR="00360DC5" w:rsidRPr="00A56DDD">
        <w:t xml:space="preserve">.  </w:t>
      </w:r>
      <w:r w:rsidR="00CD151E" w:rsidRPr="00A56DDD">
        <w:t>Crushed prednisone tablets are a cheap alternative</w:t>
      </w:r>
      <w:r w:rsidR="00360DC5" w:rsidRPr="00A56DDD">
        <w:t xml:space="preserve"> and can be</w:t>
      </w:r>
      <w:r w:rsidR="00CD151E" w:rsidRPr="00A56DDD">
        <w:t xml:space="preserve"> mix</w:t>
      </w:r>
      <w:r w:rsidR="00360DC5" w:rsidRPr="00A56DDD">
        <w:t>ed</w:t>
      </w:r>
      <w:r w:rsidR="00CD151E" w:rsidRPr="00A56DDD">
        <w:t xml:space="preserve"> with applesauce. </w:t>
      </w:r>
      <w:r w:rsidRPr="00A56DDD">
        <w:t xml:space="preserve"> </w:t>
      </w:r>
    </w:p>
    <w:p w14:paraId="5A6B1625" w14:textId="77777777" w:rsidR="00360DC5" w:rsidRPr="00A56DDD" w:rsidRDefault="00360DC5" w:rsidP="00360DC5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A56DDD">
        <w:rPr>
          <w:rFonts w:asciiTheme="minorHAnsi" w:hAnsiTheme="minorHAnsi"/>
          <w:sz w:val="22"/>
          <w:szCs w:val="22"/>
        </w:rPr>
        <w:t>Macrodantin</w:t>
      </w:r>
      <w:proofErr w:type="spellEnd"/>
      <w:r w:rsidRPr="00A56DDD">
        <w:rPr>
          <w:rFonts w:asciiTheme="minorHAnsi" w:hAnsiTheme="minorHAnsi"/>
          <w:sz w:val="22"/>
          <w:szCs w:val="22"/>
        </w:rPr>
        <w:t xml:space="preserve"> vs Macrobid </w:t>
      </w:r>
    </w:p>
    <w:p w14:paraId="593D6D78" w14:textId="77777777" w:rsidR="00360DC5" w:rsidRPr="00A56DDD" w:rsidRDefault="00360DC5" w:rsidP="00360DC5">
      <w:pPr>
        <w:pStyle w:val="NormalWeb"/>
        <w:spacing w:before="0" w:beforeAutospacing="0" w:after="16" w:afterAutospacing="0" w:line="259" w:lineRule="auto"/>
        <w:rPr>
          <w:rFonts w:asciiTheme="minorHAnsi" w:hAnsiTheme="minorHAnsi"/>
          <w:sz w:val="22"/>
          <w:szCs w:val="22"/>
        </w:rPr>
      </w:pPr>
      <w:r w:rsidRPr="00A56DDD">
        <w:rPr>
          <w:rFonts w:asciiTheme="minorHAnsi" w:hAnsiTheme="minorHAnsi"/>
          <w:sz w:val="22"/>
          <w:szCs w:val="22"/>
        </w:rPr>
        <w:tab/>
      </w:r>
      <w:proofErr w:type="spellStart"/>
      <w:r w:rsidRPr="00A56DDD">
        <w:rPr>
          <w:rFonts w:asciiTheme="minorHAnsi" w:hAnsiTheme="minorHAnsi"/>
          <w:sz w:val="22"/>
          <w:szCs w:val="22"/>
        </w:rPr>
        <w:t>Macrodantin</w:t>
      </w:r>
      <w:proofErr w:type="spellEnd"/>
      <w:r w:rsidRPr="00A56DDD">
        <w:rPr>
          <w:rFonts w:asciiTheme="minorHAnsi" w:hAnsiTheme="minorHAnsi"/>
          <w:sz w:val="22"/>
          <w:szCs w:val="22"/>
        </w:rPr>
        <w:t xml:space="preserve"> (100% </w:t>
      </w:r>
      <w:proofErr w:type="spellStart"/>
      <w:r w:rsidRPr="00A56DDD">
        <w:rPr>
          <w:rFonts w:asciiTheme="minorHAnsi" w:hAnsiTheme="minorHAnsi"/>
          <w:sz w:val="22"/>
          <w:szCs w:val="22"/>
        </w:rPr>
        <w:t>macrocrystals</w:t>
      </w:r>
      <w:proofErr w:type="spellEnd"/>
      <w:r w:rsidRPr="00A56DDD">
        <w:rPr>
          <w:rFonts w:asciiTheme="minorHAnsi" w:hAnsiTheme="minorHAnsi"/>
          <w:sz w:val="22"/>
          <w:szCs w:val="22"/>
        </w:rPr>
        <w:t xml:space="preserve">), </w:t>
      </w:r>
    </w:p>
    <w:p w14:paraId="249D813E" w14:textId="77777777" w:rsidR="00360DC5" w:rsidRPr="00A56DDD" w:rsidRDefault="00360DC5" w:rsidP="00360DC5">
      <w:pPr>
        <w:pStyle w:val="NormalWeb"/>
        <w:spacing w:before="0" w:beforeAutospacing="0" w:after="16" w:afterAutospacing="0" w:line="259" w:lineRule="auto"/>
        <w:ind w:firstLine="720"/>
        <w:rPr>
          <w:rFonts w:asciiTheme="minorHAnsi" w:hAnsiTheme="minorHAnsi"/>
          <w:sz w:val="22"/>
          <w:szCs w:val="22"/>
        </w:rPr>
      </w:pPr>
      <w:r w:rsidRPr="00A56DDD">
        <w:rPr>
          <w:rFonts w:asciiTheme="minorHAnsi" w:hAnsiTheme="minorHAnsi"/>
          <w:sz w:val="22"/>
          <w:szCs w:val="22"/>
        </w:rPr>
        <w:t xml:space="preserve">Macrobid (75% monohydrate/ 25% </w:t>
      </w:r>
      <w:proofErr w:type="spellStart"/>
      <w:r w:rsidRPr="00A56DDD">
        <w:rPr>
          <w:rFonts w:asciiTheme="minorHAnsi" w:hAnsiTheme="minorHAnsi"/>
          <w:sz w:val="22"/>
          <w:szCs w:val="22"/>
        </w:rPr>
        <w:t>macrocrystals</w:t>
      </w:r>
      <w:proofErr w:type="spellEnd"/>
      <w:r w:rsidRPr="00A56DDD">
        <w:rPr>
          <w:rFonts w:asciiTheme="minorHAnsi" w:hAnsiTheme="minorHAnsi"/>
          <w:sz w:val="22"/>
          <w:szCs w:val="22"/>
        </w:rPr>
        <w:t xml:space="preserve">) </w:t>
      </w:r>
    </w:p>
    <w:p w14:paraId="4973E989" w14:textId="77777777" w:rsidR="00360DC5" w:rsidRPr="00A56DDD" w:rsidRDefault="00360DC5" w:rsidP="00360DC5">
      <w:pPr>
        <w:pStyle w:val="NormalWeb"/>
        <w:spacing w:before="0" w:beforeAutospacing="0" w:after="16" w:afterAutospacing="0" w:line="259" w:lineRule="auto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A56DDD">
        <w:rPr>
          <w:rFonts w:asciiTheme="minorHAnsi" w:hAnsiTheme="minorHAnsi"/>
          <w:sz w:val="22"/>
          <w:szCs w:val="22"/>
        </w:rPr>
        <w:t>Macrodantin</w:t>
      </w:r>
      <w:proofErr w:type="spellEnd"/>
      <w:r w:rsidRPr="00A56DDD">
        <w:rPr>
          <w:rFonts w:asciiTheme="minorHAnsi" w:hAnsiTheme="minorHAnsi"/>
          <w:sz w:val="22"/>
          <w:szCs w:val="22"/>
        </w:rPr>
        <w:t xml:space="preserve"> is absorbed slower and may decrease GI upset but is dosed QID.  Macrobid dosed BID.  Both equally effective.   Macrobid dosing is easier. </w:t>
      </w:r>
    </w:p>
    <w:p w14:paraId="7ED30794" w14:textId="77777777" w:rsidR="00360DC5" w:rsidRPr="00A56DDD" w:rsidRDefault="00360DC5" w:rsidP="00360DC5"/>
    <w:p w14:paraId="00D6BEAB" w14:textId="77777777" w:rsidR="00234636" w:rsidRDefault="00234636" w:rsidP="00360DC5">
      <w:r w:rsidRPr="00A56DDD">
        <w:t>Bupropion – immediate release</w:t>
      </w:r>
      <w:r>
        <w:t>, sustained release, extended release</w:t>
      </w:r>
      <w:r w:rsidR="00D3502F">
        <w:t xml:space="preserve"> (IR, SR, XL) different dosing</w:t>
      </w:r>
    </w:p>
    <w:p w14:paraId="495D4A03" w14:textId="77777777" w:rsidR="00463DCA" w:rsidRDefault="00463DCA" w:rsidP="00360DC5">
      <w:proofErr w:type="spellStart"/>
      <w:r>
        <w:lastRenderedPageBreak/>
        <w:t>Fortamet</w:t>
      </w:r>
      <w:proofErr w:type="spellEnd"/>
      <w:r>
        <w:t xml:space="preserve"> vs Glucophage XR – not ab rated</w:t>
      </w:r>
    </w:p>
    <w:p w14:paraId="1AED2F28" w14:textId="77777777" w:rsidR="00A92964" w:rsidRDefault="00A92964" w:rsidP="00360DC5">
      <w:r>
        <w:t>Warfarin – big 4 interactions Bactrim, metronidazole, amiodarone, fluconazole – potential to double INR quickly, usually need to call Dr and clarify interaction, medications may still be given together</w:t>
      </w:r>
    </w:p>
    <w:p w14:paraId="1836DD36" w14:textId="77777777" w:rsidR="00480521" w:rsidRDefault="00480521" w:rsidP="00360DC5">
      <w:r>
        <w:t>Sulfa</w:t>
      </w:r>
      <w:r w:rsidR="00A56DDD">
        <w:t xml:space="preserve"> allergies – albuterol sulfate?</w:t>
      </w:r>
      <w:r>
        <w:t xml:space="preserve"> furosemide, celecoxib, Bactrim DS (sulfonamide moiety is key) </w:t>
      </w:r>
    </w:p>
    <w:p w14:paraId="0BD125A1" w14:textId="77777777" w:rsidR="00480521" w:rsidRDefault="00480521" w:rsidP="00360DC5">
      <w:r>
        <w:t xml:space="preserve">Non-drowsy antihistamine – </w:t>
      </w:r>
      <w:proofErr w:type="spellStart"/>
      <w:r>
        <w:t>loratidine</w:t>
      </w:r>
      <w:proofErr w:type="spellEnd"/>
      <w:r>
        <w:t xml:space="preserve">, </w:t>
      </w:r>
      <w:proofErr w:type="spellStart"/>
      <w:r>
        <w:t>desloratidine</w:t>
      </w:r>
      <w:proofErr w:type="spellEnd"/>
      <w:r>
        <w:t>, fexofenadine (</w:t>
      </w:r>
      <w:proofErr w:type="spellStart"/>
      <w:r>
        <w:t>loratidine</w:t>
      </w:r>
      <w:proofErr w:type="spellEnd"/>
      <w:r>
        <w:t xml:space="preserve"> peak onset 8-12 hours)</w:t>
      </w:r>
    </w:p>
    <w:p w14:paraId="719D5020" w14:textId="77777777" w:rsidR="004245F2" w:rsidRDefault="00234636" w:rsidP="00360DC5">
      <w:r>
        <w:t>Keppra (levetiracetam) – Do no break tablets</w:t>
      </w:r>
      <w:r w:rsidR="00235940">
        <w:t xml:space="preserve"> (taste)</w:t>
      </w:r>
    </w:p>
    <w:p w14:paraId="3B17D622" w14:textId="77777777" w:rsidR="004245F2" w:rsidRDefault="004245F2" w:rsidP="00360DC5">
      <w:r>
        <w:t>Insulin conversions – insulin duration chart</w:t>
      </w:r>
    </w:p>
    <w:p w14:paraId="1C7EAF98" w14:textId="77777777" w:rsidR="000F3288" w:rsidRDefault="000F3288" w:rsidP="00360DC5">
      <w:r>
        <w:t xml:space="preserve">Metoprolol tartrate (immediate release) vs Metoprolol succinate (extended release) </w:t>
      </w:r>
      <w:r w:rsidR="00480521">
        <w:t>–</w:t>
      </w:r>
      <w:r>
        <w:t xml:space="preserve"> </w:t>
      </w:r>
      <w:r w:rsidR="00480521">
        <w:t xml:space="preserve">extended release can be cut on the score of the tablet </w:t>
      </w:r>
    </w:p>
    <w:p w14:paraId="43231A82" w14:textId="77777777" w:rsidR="00480521" w:rsidRDefault="00480521" w:rsidP="00360DC5">
      <w:r>
        <w:t>Lidocaine patch – only patch that can be cut</w:t>
      </w:r>
      <w:r w:rsidR="004245F2">
        <w:t xml:space="preserve">, max time 12 hours on due to toxicity </w:t>
      </w:r>
    </w:p>
    <w:p w14:paraId="34BCC139" w14:textId="77777777" w:rsidR="005B53FF" w:rsidRDefault="005B53FF" w:rsidP="00360DC5">
      <w:r>
        <w:t xml:space="preserve">Medrol dose </w:t>
      </w:r>
      <w:proofErr w:type="spellStart"/>
      <w:r>
        <w:t>pak</w:t>
      </w:r>
      <w:proofErr w:type="spellEnd"/>
      <w:r>
        <w:t xml:space="preserve"> – </w:t>
      </w:r>
      <w:r w:rsidR="004245F2">
        <w:t xml:space="preserve">standard instructions </w:t>
      </w:r>
    </w:p>
    <w:p w14:paraId="484D72EF" w14:textId="77777777" w:rsidR="005B53FF" w:rsidRDefault="005B53FF" w:rsidP="00360DC5">
      <w:proofErr w:type="spellStart"/>
      <w:r>
        <w:t>Lovenox</w:t>
      </w:r>
      <w:proofErr w:type="spellEnd"/>
      <w:r>
        <w:t xml:space="preserve"> 1mg/kg/bid </w:t>
      </w:r>
      <w:r w:rsidR="001C6E13">
        <w:t xml:space="preserve">SC </w:t>
      </w:r>
      <w:r>
        <w:t>f</w:t>
      </w:r>
      <w:r w:rsidR="001C6E13">
        <w:t>or DVT treatment</w:t>
      </w:r>
      <w:r w:rsidR="001C6E13">
        <w:tab/>
      </w:r>
    </w:p>
    <w:p w14:paraId="5E3F22C0" w14:textId="77777777" w:rsidR="00480521" w:rsidRDefault="00480521" w:rsidP="00360DC5">
      <w:r>
        <w:t xml:space="preserve">OTC insulin – </w:t>
      </w:r>
      <w:proofErr w:type="spellStart"/>
      <w:r>
        <w:t>novolin</w:t>
      </w:r>
      <w:proofErr w:type="spellEnd"/>
      <w:r>
        <w:t>/</w:t>
      </w:r>
      <w:proofErr w:type="spellStart"/>
      <w:r>
        <w:t>humuilin</w:t>
      </w:r>
      <w:proofErr w:type="spellEnd"/>
      <w:r>
        <w:t xml:space="preserve"> </w:t>
      </w:r>
    </w:p>
    <w:p w14:paraId="3724F71E" w14:textId="77777777" w:rsidR="00234636" w:rsidRDefault="00234636" w:rsidP="00360DC5">
      <w:r>
        <w:t>Levothyroxine – AB ratings and expiration is usually short</w:t>
      </w:r>
      <w:r w:rsidR="00235940">
        <w:t xml:space="preserve"> </w:t>
      </w:r>
    </w:p>
    <w:p w14:paraId="20290BCC" w14:textId="77777777" w:rsidR="00234636" w:rsidRDefault="00234636" w:rsidP="00360DC5">
      <w:proofErr w:type="spellStart"/>
      <w:r>
        <w:t>Epipen</w:t>
      </w:r>
      <w:proofErr w:type="spellEnd"/>
      <w:r>
        <w:t>/</w:t>
      </w:r>
      <w:proofErr w:type="spellStart"/>
      <w:r>
        <w:t>Epipen</w:t>
      </w:r>
      <w:proofErr w:type="spellEnd"/>
      <w:r>
        <w:t xml:space="preserve"> </w:t>
      </w:r>
      <w:proofErr w:type="spellStart"/>
      <w:r>
        <w:t>jr</w:t>
      </w:r>
      <w:proofErr w:type="spellEnd"/>
      <w:r>
        <w:t xml:space="preserve"> – 30k</w:t>
      </w:r>
      <w:r w:rsidR="00235940">
        <w:t xml:space="preserve">g&lt; use </w:t>
      </w:r>
      <w:proofErr w:type="spellStart"/>
      <w:r w:rsidR="00235940">
        <w:t>epipen</w:t>
      </w:r>
      <w:proofErr w:type="spellEnd"/>
      <w:r w:rsidR="00235940">
        <w:t xml:space="preserve"> </w:t>
      </w:r>
      <w:proofErr w:type="spellStart"/>
      <w:r w:rsidR="00235940">
        <w:t>jr.</w:t>
      </w:r>
      <w:proofErr w:type="spellEnd"/>
      <w:r w:rsidR="00235940">
        <w:t xml:space="preserve">  Expiration is usually short. Children less &lt;15kg risk vs. benefit</w:t>
      </w:r>
    </w:p>
    <w:p w14:paraId="61B6590A" w14:textId="77777777" w:rsidR="00235940" w:rsidRDefault="00235940" w:rsidP="00360DC5">
      <w:r>
        <w:t>Depakote (by definition is Depakote DR), Depakote ER (</w:t>
      </w:r>
      <w:proofErr w:type="spellStart"/>
      <w:r>
        <w:t>depakote</w:t>
      </w:r>
      <w:proofErr w:type="spellEnd"/>
      <w:r>
        <w:t xml:space="preserve"> extended release), Depakene (immediate release valproic acid) </w:t>
      </w:r>
    </w:p>
    <w:p w14:paraId="2B82BCDC" w14:textId="77777777" w:rsidR="00235940" w:rsidRDefault="00235940" w:rsidP="00360DC5">
      <w:r>
        <w:t>Amoxi</w:t>
      </w:r>
      <w:r w:rsidR="004245F2">
        <w:t>cillin – max dosing 90mg/kg/day, max dosing 875 bid</w:t>
      </w:r>
      <w:r w:rsidR="00463DCA">
        <w:t xml:space="preserve"> (sometimes the 875 bid is exceeded in children with pneumonia) </w:t>
      </w:r>
    </w:p>
    <w:p w14:paraId="519410CC" w14:textId="77777777" w:rsidR="00235940" w:rsidRDefault="00235940" w:rsidP="00360DC5">
      <w:r>
        <w:t xml:space="preserve">Acetaminophen – 15mg/kg/dose q 4-6hr </w:t>
      </w:r>
    </w:p>
    <w:p w14:paraId="385549E3" w14:textId="77777777" w:rsidR="004245F2" w:rsidRDefault="004245F2" w:rsidP="00360DC5">
      <w:r>
        <w:t xml:space="preserve">Bactrim – 20mg/kg/day max </w:t>
      </w:r>
    </w:p>
    <w:p w14:paraId="3B0052E5" w14:textId="77777777" w:rsidR="00235940" w:rsidRDefault="00235940" w:rsidP="00360DC5">
      <w:r>
        <w:t>Ibuprofen – 1</w:t>
      </w:r>
      <w:r w:rsidR="000F3288">
        <w:t>0</w:t>
      </w:r>
      <w:r>
        <w:t>mg/kg/dose q 6 hours</w:t>
      </w:r>
    </w:p>
    <w:p w14:paraId="1678F555" w14:textId="77777777" w:rsidR="000F3288" w:rsidRDefault="000F3288" w:rsidP="00360DC5">
      <w:r>
        <w:t>CII – The parts of the prescrip</w:t>
      </w:r>
      <w:r w:rsidR="004245F2">
        <w:t xml:space="preserve">tion that cannot be changed: </w:t>
      </w:r>
      <w:r>
        <w:t>patients name, drug, Dr signature</w:t>
      </w:r>
    </w:p>
    <w:p w14:paraId="39688510" w14:textId="77777777" w:rsidR="000F3288" w:rsidRDefault="000F3288" w:rsidP="00360DC5">
      <w:proofErr w:type="spellStart"/>
      <w:r>
        <w:t>Hipaa</w:t>
      </w:r>
      <w:proofErr w:type="spellEnd"/>
      <w:r>
        <w:t xml:space="preserve"> – do not leave any information on a message besides your name and a number to call back </w:t>
      </w:r>
    </w:p>
    <w:p w14:paraId="79C57FB7" w14:textId="77777777" w:rsidR="000F3288" w:rsidRDefault="000F3288" w:rsidP="00360DC5">
      <w:r>
        <w:t xml:space="preserve">PPI – mnemonic – OLEP- omeprazole 20mg/lansoprazole 30mg/esomeprazole 20-40mg/pantoprazole 40mg </w:t>
      </w:r>
    </w:p>
    <w:p w14:paraId="28C18592" w14:textId="77777777" w:rsidR="004245F2" w:rsidRDefault="004245F2" w:rsidP="00360DC5">
      <w:r>
        <w:t>Omeprazole/Plavix interaction – is it clinically significant?</w:t>
      </w:r>
    </w:p>
    <w:p w14:paraId="232DEFB5" w14:textId="77777777" w:rsidR="000F3288" w:rsidRDefault="000F3288" w:rsidP="00360DC5">
      <w:r>
        <w:t xml:space="preserve">Statin – mnemonic – RASLF – (round ass still looking fine) – rosuvastatin </w:t>
      </w:r>
      <w:r w:rsidR="00D3502F">
        <w:t>2.5mg/atorvastatin 5mg/simvastatin 10mg/lovastatin 20mg/</w:t>
      </w:r>
      <w:proofErr w:type="spellStart"/>
      <w:r w:rsidR="00D3502F">
        <w:t>fluvastatin</w:t>
      </w:r>
      <w:proofErr w:type="spellEnd"/>
      <w:r w:rsidR="00D3502F">
        <w:t xml:space="preserve"> 40</w:t>
      </w:r>
      <w:r>
        <w:t>mg</w:t>
      </w:r>
    </w:p>
    <w:p w14:paraId="3451B90A" w14:textId="77777777" w:rsidR="00C90AE0" w:rsidRDefault="00C90AE0" w:rsidP="00360DC5">
      <w:r>
        <w:t xml:space="preserve">OTC counseling – OLDCART – onset, location, duration, characteristics, aggravating factors, relieving factors, treatments tried, allergies, current medications. (you probably use SCHOLAR MAC) </w:t>
      </w:r>
    </w:p>
    <w:p w14:paraId="3E3476A5" w14:textId="77777777" w:rsidR="00C90AE0" w:rsidRDefault="00C90AE0" w:rsidP="00360DC5">
      <w:r>
        <w:lastRenderedPageBreak/>
        <w:t>Victoza pen – measurements are in milligrams</w:t>
      </w:r>
    </w:p>
    <w:p w14:paraId="7DB872C0" w14:textId="77777777" w:rsidR="001C6E13" w:rsidRDefault="001C6E13" w:rsidP="00360DC5">
      <w:r>
        <w:t xml:space="preserve">Spiriva </w:t>
      </w:r>
      <w:proofErr w:type="spellStart"/>
      <w:r>
        <w:t>handihaler</w:t>
      </w:r>
      <w:proofErr w:type="spellEnd"/>
    </w:p>
    <w:p w14:paraId="281735A6" w14:textId="77777777" w:rsidR="004245F2" w:rsidRDefault="004245F2" w:rsidP="00360DC5">
      <w:r>
        <w:t xml:space="preserve">Steroids vs quinolone – black box interaction – tendon rupture </w:t>
      </w:r>
    </w:p>
    <w:p w14:paraId="1D71EB90" w14:textId="77777777" w:rsidR="004245F2" w:rsidRDefault="004245F2" w:rsidP="00360DC5">
      <w:r>
        <w:t xml:space="preserve">Statins side effects – no grapefruit juice – muscle pain bilaterally </w:t>
      </w:r>
      <w:r w:rsidR="00463DCA">
        <w:t>(is this a clinically significant interaction)</w:t>
      </w:r>
    </w:p>
    <w:p w14:paraId="3666A704" w14:textId="77777777" w:rsidR="004F27C4" w:rsidRDefault="004F27C4" w:rsidP="00360DC5">
      <w:proofErr w:type="spellStart"/>
      <w:r>
        <w:t>ACEi</w:t>
      </w:r>
      <w:proofErr w:type="spellEnd"/>
      <w:r>
        <w:t>- side effect cough 10%</w:t>
      </w:r>
    </w:p>
    <w:p w14:paraId="1B2204AB" w14:textId="77777777" w:rsidR="001C6E13" w:rsidRDefault="001C6E13" w:rsidP="00360DC5">
      <w:proofErr w:type="spellStart"/>
      <w:r>
        <w:t>Optichambers</w:t>
      </w:r>
      <w:proofErr w:type="spellEnd"/>
      <w:r>
        <w:t xml:space="preserve"> </w:t>
      </w:r>
      <w:r w:rsidR="00333D7E">
        <w:t xml:space="preserve">– small/medium/large </w:t>
      </w:r>
    </w:p>
    <w:p w14:paraId="0319E127" w14:textId="77777777" w:rsidR="001C6E13" w:rsidRDefault="001C6E13" w:rsidP="00360DC5">
      <w:r>
        <w:t xml:space="preserve">Vancomycin </w:t>
      </w:r>
      <w:r w:rsidR="00333D7E">
        <w:t xml:space="preserve">– oral not absorbed treats c. diff. </w:t>
      </w:r>
      <w:r w:rsidR="00463DCA">
        <w:t xml:space="preserve">review compounding procedure </w:t>
      </w:r>
    </w:p>
    <w:p w14:paraId="12DF3E28" w14:textId="77777777" w:rsidR="001C6E13" w:rsidRDefault="001C6E13" w:rsidP="00360DC5">
      <w:r>
        <w:t xml:space="preserve">Eye drops – solution 20 drops/ml, suspension 15 drops/ml </w:t>
      </w:r>
    </w:p>
    <w:p w14:paraId="196045B9" w14:textId="77777777" w:rsidR="001C6E13" w:rsidRDefault="001C6E13" w:rsidP="00360DC5">
      <w:r>
        <w:t>Pseudoephedrine – 3.6gm per transaction, 9gm per 30 days</w:t>
      </w:r>
    </w:p>
    <w:p w14:paraId="1D5F95BD" w14:textId="77777777" w:rsidR="00CD151E" w:rsidRDefault="00A92964" w:rsidP="004036B3">
      <w:r>
        <w:t xml:space="preserve">High concentration narcotics – morphine, oxycodone (potentially very dangerous) </w:t>
      </w:r>
    </w:p>
    <w:p w14:paraId="77002ABB" w14:textId="77777777" w:rsidR="00F36E41" w:rsidRPr="001C6E13" w:rsidRDefault="00A92964">
      <w:r>
        <w:t xml:space="preserve">REMS programs – Accutane, </w:t>
      </w:r>
      <w:proofErr w:type="spellStart"/>
      <w:r>
        <w:t>tikosyn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5C74352D" w14:textId="77777777" w:rsidR="00F36E41" w:rsidRDefault="00F36E41">
      <w:r>
        <w:t xml:space="preserve">Keflex 50mg/kg </w:t>
      </w:r>
      <w:proofErr w:type="spellStart"/>
      <w:r>
        <w:t>uti</w:t>
      </w:r>
      <w:proofErr w:type="spellEnd"/>
      <w:r>
        <w:t xml:space="preserve"> children bid? </w:t>
      </w:r>
    </w:p>
    <w:p w14:paraId="7128F941" w14:textId="77777777" w:rsidR="00F36E41" w:rsidRDefault="00F36E41">
      <w:proofErr w:type="spellStart"/>
      <w:r>
        <w:t>Renocaps</w:t>
      </w:r>
      <w:proofErr w:type="spellEnd"/>
      <w:r>
        <w:t xml:space="preserve"> </w:t>
      </w:r>
      <w:r w:rsidR="00360DC5">
        <w:t xml:space="preserve">- </w:t>
      </w:r>
      <w:r>
        <w:t xml:space="preserve">replaces water soluble vitamins </w:t>
      </w:r>
      <w:r w:rsidR="007B6576">
        <w:t>b vitamin, folic acid, vitamin c, removed during dialysis</w:t>
      </w:r>
    </w:p>
    <w:p w14:paraId="4BEF20C2" w14:textId="77777777" w:rsidR="001F0C3D" w:rsidRDefault="001F0C3D">
      <w:r>
        <w:t xml:space="preserve">Ebola – spread through blood or body fluid when in contact with broken skin or mucus membranes </w:t>
      </w:r>
    </w:p>
    <w:p w14:paraId="2FC88CEB" w14:textId="77777777" w:rsidR="00F26387" w:rsidRDefault="00F26387">
      <w:r>
        <w:t>Folic acid in patients taking methotrexate – prevents oral sores, nausea, vomiting, and liver toxicity</w:t>
      </w:r>
    </w:p>
    <w:p w14:paraId="3BD2D010" w14:textId="77777777" w:rsidR="00D613B0" w:rsidRDefault="00FE7896">
      <w:r>
        <w:t xml:space="preserve">PTH </w:t>
      </w:r>
      <w:r w:rsidR="00333D7E">
        <w:t xml:space="preserve">– parathyroid hormone – active vitamin d plays in important role in maintaining normal PTH levels and bone health.  High PTH level cause inflammation of bones, muscles, and tendons.  It also leads to a loss of bone calcium and phosphorous. </w:t>
      </w:r>
      <w:r w:rsidR="00D613B0">
        <w:t xml:space="preserve"> In chronic kidney disease the kidneys do not sufficiently convert enough vitamin D to its active form thus PTH level will rise.  Elevated PTH levels will pull calcium and phosphorus out of the bones.</w:t>
      </w:r>
      <w:r w:rsidR="00333D7E">
        <w:t xml:space="preserve"> Oral active vitamin d (calcitriol) can help prevent high PTH levels in patient with chronic kidney disease.  </w:t>
      </w:r>
      <w:proofErr w:type="spellStart"/>
      <w:r w:rsidR="00333D7E">
        <w:t>Sensipar</w:t>
      </w:r>
      <w:proofErr w:type="spellEnd"/>
      <w:r w:rsidR="00333D7E">
        <w:t xml:space="preserve"> a </w:t>
      </w:r>
      <w:proofErr w:type="spellStart"/>
      <w:r w:rsidR="00333D7E">
        <w:t>calcimemetic</w:t>
      </w:r>
      <w:proofErr w:type="spellEnd"/>
      <w:r w:rsidR="00333D7E">
        <w:t xml:space="preserve"> also lowers high PTH levels.  </w:t>
      </w:r>
    </w:p>
    <w:p w14:paraId="2184D499" w14:textId="77777777" w:rsidR="00003D0A" w:rsidRDefault="00003D0A">
      <w:r>
        <w:t>Phosphorus binders (</w:t>
      </w:r>
      <w:proofErr w:type="spellStart"/>
      <w:r>
        <w:t>phoslo</w:t>
      </w:r>
      <w:proofErr w:type="spellEnd"/>
      <w:r>
        <w:t xml:space="preserve">) because the kidneys are unable to secret phosphorus in chronic kidney disease.  The </w:t>
      </w:r>
      <w:proofErr w:type="spellStart"/>
      <w:r>
        <w:t>unsecreted</w:t>
      </w:r>
      <w:proofErr w:type="spellEnd"/>
      <w:r>
        <w:t xml:space="preserve"> phosphorus binds with calcium and precipitate</w:t>
      </w:r>
      <w:r w:rsidR="00463DCA">
        <w:t>s</w:t>
      </w:r>
      <w:r>
        <w:t xml:space="preserve"> in small blood vessels in the feet, intestines, and heart.  </w:t>
      </w:r>
      <w:proofErr w:type="spellStart"/>
      <w:r>
        <w:t>Renagel</w:t>
      </w:r>
      <w:proofErr w:type="spellEnd"/>
      <w:r>
        <w:t>/</w:t>
      </w:r>
      <w:proofErr w:type="spellStart"/>
      <w:r>
        <w:t>renvela</w:t>
      </w:r>
      <w:proofErr w:type="spellEnd"/>
      <w:r>
        <w:t xml:space="preserve"> bind with phosphorus as well </w:t>
      </w:r>
    </w:p>
    <w:p w14:paraId="7FDCC2CD" w14:textId="77777777" w:rsidR="004245F2" w:rsidRDefault="004245F2">
      <w:r>
        <w:t xml:space="preserve">Clonidine – used for </w:t>
      </w:r>
      <w:proofErr w:type="gramStart"/>
      <w:r>
        <w:t>BP  but</w:t>
      </w:r>
      <w:proofErr w:type="gramEnd"/>
      <w:r>
        <w:t xml:space="preserve"> also used for drug withdrawals – sweating/nausea/cramps/anxiety/tremor/chills </w:t>
      </w:r>
    </w:p>
    <w:sectPr w:rsidR="0042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9F6"/>
    <w:rsid w:val="00003D0A"/>
    <w:rsid w:val="000660E9"/>
    <w:rsid w:val="0007773F"/>
    <w:rsid w:val="000F3288"/>
    <w:rsid w:val="00180ACC"/>
    <w:rsid w:val="001C6E13"/>
    <w:rsid w:val="001F0C3D"/>
    <w:rsid w:val="0020426E"/>
    <w:rsid w:val="00225DFD"/>
    <w:rsid w:val="00234636"/>
    <w:rsid w:val="00235940"/>
    <w:rsid w:val="00313CA1"/>
    <w:rsid w:val="00333D7E"/>
    <w:rsid w:val="003400E6"/>
    <w:rsid w:val="00360DC5"/>
    <w:rsid w:val="003B25B2"/>
    <w:rsid w:val="004036B3"/>
    <w:rsid w:val="004245F2"/>
    <w:rsid w:val="00440944"/>
    <w:rsid w:val="00463DCA"/>
    <w:rsid w:val="00480521"/>
    <w:rsid w:val="004810C5"/>
    <w:rsid w:val="004C4259"/>
    <w:rsid w:val="004F27C4"/>
    <w:rsid w:val="0056204E"/>
    <w:rsid w:val="005867EB"/>
    <w:rsid w:val="00596A45"/>
    <w:rsid w:val="005B49F6"/>
    <w:rsid w:val="005B53FF"/>
    <w:rsid w:val="00661082"/>
    <w:rsid w:val="007B6576"/>
    <w:rsid w:val="00811753"/>
    <w:rsid w:val="00836F27"/>
    <w:rsid w:val="00A56DDD"/>
    <w:rsid w:val="00A92964"/>
    <w:rsid w:val="00AD764A"/>
    <w:rsid w:val="00B0515B"/>
    <w:rsid w:val="00B357EA"/>
    <w:rsid w:val="00C90AE0"/>
    <w:rsid w:val="00CD151E"/>
    <w:rsid w:val="00D067E6"/>
    <w:rsid w:val="00D21184"/>
    <w:rsid w:val="00D3502F"/>
    <w:rsid w:val="00D613B0"/>
    <w:rsid w:val="00D94B11"/>
    <w:rsid w:val="00EC1183"/>
    <w:rsid w:val="00EF13EC"/>
    <w:rsid w:val="00F26387"/>
    <w:rsid w:val="00F3036B"/>
    <w:rsid w:val="00F36E41"/>
    <w:rsid w:val="00F92941"/>
    <w:rsid w:val="00FB4027"/>
    <w:rsid w:val="00FE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6F53"/>
  <w15:docId w15:val="{A77CC3A2-07C0-46B6-95A3-46345136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anchor">
    <w:name w:val="headinganchor"/>
    <w:basedOn w:val="Normal"/>
    <w:rsid w:val="00D06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2">
    <w:name w:val="h2"/>
    <w:basedOn w:val="DefaultParagraphFont"/>
    <w:rsid w:val="00D067E6"/>
  </w:style>
  <w:style w:type="paragraph" w:styleId="NormalWeb">
    <w:name w:val="Normal (Web)"/>
    <w:basedOn w:val="Normal"/>
    <w:uiPriority w:val="99"/>
    <w:unhideWhenUsed/>
    <w:rsid w:val="00D06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67E6"/>
    <w:rPr>
      <w:color w:val="0000FF"/>
      <w:u w:val="single"/>
    </w:rPr>
  </w:style>
  <w:style w:type="paragraph" w:customStyle="1" w:styleId="bulletindent11">
    <w:name w:val="bulletindent11"/>
    <w:basedOn w:val="Normal"/>
    <w:rsid w:val="00B0515B"/>
    <w:pPr>
      <w:spacing w:before="30" w:after="30" w:line="336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anchor1">
    <w:name w:val="headinganchor1"/>
    <w:basedOn w:val="Normal"/>
    <w:rsid w:val="00B0515B"/>
    <w:pPr>
      <w:spacing w:after="150" w:line="33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22">
    <w:name w:val="h22"/>
    <w:basedOn w:val="DefaultParagraphFont"/>
    <w:rsid w:val="00B0515B"/>
    <w:rPr>
      <w:b/>
      <w:bCs/>
    </w:rPr>
  </w:style>
  <w:style w:type="character" w:customStyle="1" w:styleId="glyph">
    <w:name w:val="glyph"/>
    <w:basedOn w:val="DefaultParagraphFont"/>
    <w:rsid w:val="00B0515B"/>
  </w:style>
  <w:style w:type="character" w:customStyle="1" w:styleId="h14">
    <w:name w:val="h14"/>
    <w:basedOn w:val="DefaultParagraphFont"/>
    <w:rsid w:val="00B05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74001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94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770">
              <w:marLeft w:val="4650"/>
              <w:marRight w:val="9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304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78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uptodate.com/contents/diltiazem-drug-information?source=see_link" TargetMode="External"/><Relationship Id="rId5" Type="http://schemas.openxmlformats.org/officeDocument/2006/relationships/hyperlink" Target="http://www.uptodate.com/contents/verapamil-drug-information?source=se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9723E-9AA3-42DF-961F-E7A9A17F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3591</TotalTime>
  <Pages>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fancher</dc:creator>
  <cp:keywords/>
  <dc:description/>
  <cp:lastModifiedBy>joshua fancher</cp:lastModifiedBy>
  <cp:revision>25</cp:revision>
  <dcterms:created xsi:type="dcterms:W3CDTF">2014-09-03T05:25:00Z</dcterms:created>
  <dcterms:modified xsi:type="dcterms:W3CDTF">2018-11-15T02:32:00Z</dcterms:modified>
</cp:coreProperties>
</file>