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C39" w:rsidRDefault="00736C39" w:rsidP="00736C39">
      <w:pPr>
        <w:pStyle w:val="Heading3"/>
        <w:shd w:val="clear" w:color="auto" w:fill="FFFFFF"/>
        <w:spacing w:before="75" w:beforeAutospacing="0" w:after="150" w:afterAutospacing="0"/>
        <w:rPr>
          <w:rFonts w:ascii="Helvetica" w:hAnsi="Helvetica" w:cs="Helvetica"/>
          <w:color w:val="000000"/>
        </w:rPr>
      </w:pPr>
      <w:r>
        <w:rPr>
          <w:rFonts w:ascii="Helvetica" w:hAnsi="Helvetica" w:cs="Helvetica"/>
          <w:color w:val="000000"/>
        </w:rPr>
        <w:t xml:space="preserve">Emergency </w:t>
      </w:r>
      <w:r w:rsidR="009E076A">
        <w:rPr>
          <w:rFonts w:ascii="Helvetica" w:hAnsi="Helvetica" w:cs="Helvetica"/>
          <w:color w:val="000000"/>
        </w:rPr>
        <w:t xml:space="preserve">prescription refill - </w:t>
      </w:r>
    </w:p>
    <w:p w:rsidR="00736C39" w:rsidRDefault="00736C39" w:rsidP="00736C39">
      <w:pPr>
        <w:pStyle w:val="Heading3"/>
        <w:shd w:val="clear" w:color="auto" w:fill="FFFFFF"/>
        <w:spacing w:before="75" w:beforeAutospacing="0" w:after="150" w:afterAutospacing="0"/>
        <w:rPr>
          <w:rFonts w:ascii="Helvetica" w:hAnsi="Helvetica" w:cs="Helvetica"/>
          <w:color w:val="000000"/>
        </w:rPr>
      </w:pPr>
      <w:r>
        <w:rPr>
          <w:rFonts w:ascii="Helvetica" w:hAnsi="Helvetica" w:cs="Helvetica"/>
          <w:color w:val="000000"/>
        </w:rPr>
        <w:t>WAC 246-869-100</w:t>
      </w:r>
    </w:p>
    <w:p w:rsidR="00736C39" w:rsidRDefault="00736C39" w:rsidP="00736C39">
      <w:pPr>
        <w:pStyle w:val="Heading3"/>
        <w:shd w:val="clear" w:color="auto" w:fill="FFFFFF"/>
        <w:spacing w:before="75" w:beforeAutospacing="0" w:after="150" w:afterAutospacing="0"/>
        <w:rPr>
          <w:rFonts w:ascii="Helvetica" w:hAnsi="Helvetica" w:cs="Helvetica"/>
          <w:color w:val="000000"/>
        </w:rPr>
      </w:pPr>
      <w:r>
        <w:rPr>
          <w:rFonts w:ascii="Helvetica" w:hAnsi="Helvetica" w:cs="Helvetica"/>
          <w:color w:val="000000"/>
        </w:rPr>
        <w:t>Prescription record requirements.</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(1) Records for the original prescription and refill records shall be maintained on the filled prescription or in a separate record book or patient medication record. Such records must be maintained for a period of at least two years and shall be made available for inspection to representatives of the board of pharmacy.</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 xml:space="preserve">(2) The pharmacist shall be required </w:t>
      </w:r>
      <w:proofErr w:type="gramStart"/>
      <w:r>
        <w:rPr>
          <w:rFonts w:ascii="Helvetica" w:hAnsi="Helvetica" w:cs="Helvetica"/>
          <w:color w:val="000000"/>
        </w:rPr>
        <w:t>to insure that</w:t>
      </w:r>
      <w:proofErr w:type="gramEnd"/>
      <w:r>
        <w:rPr>
          <w:rFonts w:ascii="Helvetica" w:hAnsi="Helvetica" w:cs="Helvetica"/>
          <w:color w:val="000000"/>
        </w:rPr>
        <w:t xml:space="preserve"> the following information be recorded:</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(a) Original prescription—At the time of dispensing, a serial number, date of dispensing, and the initials of the responsible pharmacist shall be placed on the face of the prescription. The patient's address must be readily available to the pharmacist, either from the face of the prescription, a record book, patient medication record, or hospital or clinic record.</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(b) Refill prescription authorization—Refills for prescription for legend drugs must be authorized by the prescriber prior to the dispensing of the refill prescription.</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(c) Refill prescription—At the time of dispensing, the date of refilling, quantity of the drug (if other than original), the name of authorizing person (if other than original), and the initials of the responsible pharmacist shall be recorded on the back side of the prescription, or in a separate record book or patient medication record.</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(d) Prescription refill limitations—No prescription may be refilled for a period longer than one year from the date of the original prescription. "PRN" prescriptions shall expire at the end of one year. Expired prescriptions require authorization before filling. If granted a new prescription shall be written and placed in the files.</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(e) Prescription copies—Prescription copies and prescription labels presented for filling must be considered as informational only, and may not be used as the sole document. The prescriber shall be contacted for complete information and authorization. If granted, a new prescription shall be written and placed on file. Copies of prescriptions must be clearly identified as such on the face of the prescription. The transfer of original prescription information is permitted if the provisions of WAC </w:t>
      </w:r>
      <w:hyperlink r:id="rId4" w:history="1">
        <w:r>
          <w:rPr>
            <w:rStyle w:val="Hyperlink"/>
            <w:rFonts w:ascii="Helvetica" w:hAnsi="Helvetica" w:cs="Helvetica"/>
            <w:b/>
            <w:bCs/>
            <w:color w:val="7DAB8A"/>
          </w:rPr>
          <w:t>246-869-090</w:t>
        </w:r>
      </w:hyperlink>
      <w:r>
        <w:rPr>
          <w:rFonts w:ascii="Helvetica" w:hAnsi="Helvetica" w:cs="Helvetica"/>
          <w:color w:val="000000"/>
        </w:rPr>
        <w:t> are met.</w:t>
      </w:r>
    </w:p>
    <w:p w:rsidR="00736C39" w:rsidRDefault="00736C39" w:rsidP="00736C39">
      <w:pPr>
        <w:shd w:val="clear" w:color="auto" w:fill="FFFFFF"/>
        <w:ind w:firstLine="360"/>
        <w:rPr>
          <w:rFonts w:ascii="Helvetica" w:hAnsi="Helvetica" w:cs="Helvetica"/>
          <w:color w:val="000000"/>
        </w:rPr>
      </w:pPr>
      <w:r>
        <w:rPr>
          <w:rFonts w:ascii="Helvetica" w:hAnsi="Helvetica" w:cs="Helvetica"/>
          <w:color w:val="000000"/>
        </w:rPr>
        <w:t xml:space="preserve">(f) </w:t>
      </w:r>
      <w:r w:rsidRPr="009E076A">
        <w:rPr>
          <w:rFonts w:ascii="Helvetica" w:hAnsi="Helvetica" w:cs="Helvetica"/>
          <w:color w:val="000000"/>
          <w:highlight w:val="yellow"/>
        </w:rPr>
        <w:t>Emergency refills—If the prescriber is not available and in the professional judgment of the pharmacist an emergency need for the medication has been demonstrated, the pharmacist may dispense enough medication to last until a prescriber can be contacted - but not to exceed 72 hours' supply. The prescriber shall be promptly notified of the emergency refill.</w:t>
      </w:r>
    </w:p>
    <w:p w:rsidR="00736C39" w:rsidRDefault="00736C39" w:rsidP="00627C0F">
      <w:pPr>
        <w:shd w:val="clear" w:color="auto" w:fill="FFFFFF"/>
        <w:spacing w:before="75" w:after="150" w:line="240" w:lineRule="auto"/>
        <w:outlineLvl w:val="2"/>
        <w:rPr>
          <w:rFonts w:ascii="Helvetica" w:eastAsia="Times New Roman" w:hAnsi="Helvetica" w:cs="Helvetica"/>
          <w:b/>
          <w:bCs/>
          <w:color w:val="000000"/>
          <w:sz w:val="27"/>
          <w:szCs w:val="27"/>
        </w:rPr>
      </w:pPr>
    </w:p>
    <w:p w:rsidR="00736C39" w:rsidRDefault="00736C39" w:rsidP="00627C0F">
      <w:pPr>
        <w:shd w:val="clear" w:color="auto" w:fill="FFFFFF"/>
        <w:spacing w:before="75" w:after="150" w:line="240" w:lineRule="auto"/>
        <w:outlineLvl w:val="2"/>
        <w:rPr>
          <w:rFonts w:ascii="Helvetica" w:eastAsia="Times New Roman" w:hAnsi="Helvetica" w:cs="Helvetica"/>
          <w:b/>
          <w:bCs/>
          <w:color w:val="000000"/>
          <w:sz w:val="27"/>
          <w:szCs w:val="27"/>
        </w:rPr>
      </w:pPr>
    </w:p>
    <w:p w:rsidR="00736C39" w:rsidRDefault="00736C39" w:rsidP="00627C0F">
      <w:pPr>
        <w:shd w:val="clear" w:color="auto" w:fill="FFFFFF"/>
        <w:spacing w:before="75" w:after="150" w:line="240" w:lineRule="auto"/>
        <w:outlineLvl w:val="2"/>
        <w:rPr>
          <w:rFonts w:ascii="Helvetica" w:eastAsia="Times New Roman" w:hAnsi="Helvetica" w:cs="Helvetica"/>
          <w:b/>
          <w:bCs/>
          <w:color w:val="000000"/>
          <w:sz w:val="27"/>
          <w:szCs w:val="27"/>
        </w:rPr>
      </w:pPr>
      <w:bookmarkStart w:id="0" w:name="_GoBack"/>
      <w:bookmarkEnd w:id="0"/>
    </w:p>
    <w:p w:rsidR="00627C0F" w:rsidRDefault="00627C0F" w:rsidP="00627C0F">
      <w:pPr>
        <w:shd w:val="clear" w:color="auto" w:fill="FFFFFF"/>
        <w:spacing w:before="75" w:after="150" w:line="240" w:lineRule="auto"/>
        <w:outlineLvl w:val="2"/>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lastRenderedPageBreak/>
        <w:t xml:space="preserve">Supply Limit of Legend Drugs </w:t>
      </w:r>
    </w:p>
    <w:p w:rsidR="00627C0F" w:rsidRDefault="00627C0F" w:rsidP="00627C0F">
      <w:pPr>
        <w:shd w:val="clear" w:color="auto" w:fill="FFFFFF"/>
        <w:spacing w:before="75" w:after="150" w:line="240" w:lineRule="auto"/>
        <w:outlineLvl w:val="2"/>
        <w:rPr>
          <w:rFonts w:ascii="Helvetica" w:eastAsia="Times New Roman" w:hAnsi="Helvetica" w:cs="Helvetica"/>
          <w:b/>
          <w:bCs/>
          <w:color w:val="000000"/>
          <w:sz w:val="27"/>
          <w:szCs w:val="27"/>
        </w:rPr>
      </w:pPr>
    </w:p>
    <w:p w:rsidR="00627C0F" w:rsidRPr="00627C0F" w:rsidRDefault="00627C0F" w:rsidP="00627C0F">
      <w:pPr>
        <w:shd w:val="clear" w:color="auto" w:fill="FFFFFF"/>
        <w:spacing w:before="75" w:after="150" w:line="240" w:lineRule="auto"/>
        <w:outlineLvl w:val="2"/>
        <w:rPr>
          <w:rFonts w:ascii="Helvetica" w:eastAsia="Times New Roman" w:hAnsi="Helvetica" w:cs="Helvetica"/>
          <w:b/>
          <w:bCs/>
          <w:color w:val="000000"/>
          <w:sz w:val="27"/>
          <w:szCs w:val="27"/>
        </w:rPr>
      </w:pPr>
      <w:r w:rsidRPr="00627C0F">
        <w:rPr>
          <w:rFonts w:ascii="Helvetica" w:eastAsia="Times New Roman" w:hAnsi="Helvetica" w:cs="Helvetica"/>
          <w:b/>
          <w:bCs/>
          <w:color w:val="000000"/>
          <w:sz w:val="27"/>
          <w:szCs w:val="27"/>
        </w:rPr>
        <w:t>18.64.520</w:t>
      </w:r>
      <w:r w:rsidRPr="00627C0F">
        <w:rPr>
          <w:rFonts w:ascii="Helvetica" w:eastAsia="Times New Roman" w:hAnsi="Helvetica" w:cs="Helvetica"/>
          <w:b/>
          <w:bCs/>
          <w:color w:val="000000"/>
          <w:sz w:val="27"/>
          <w:szCs w:val="27"/>
        </w:rPr>
        <w:br/>
        <w:t>Dispensing of drug other than controlled substance—Supply limit.</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 xml:space="preserve">(1) A pharmacist may dispense not more than a ninety-day supply of a drug other than a controlled substance pursuant to a valid prescription that specifies an initial quantity of less than a ninety-day supply followed by periodic refills of that amount if </w:t>
      </w:r>
      <w:proofErr w:type="gramStart"/>
      <w:r w:rsidRPr="00627C0F">
        <w:rPr>
          <w:rFonts w:ascii="Helvetica" w:eastAsia="Times New Roman" w:hAnsi="Helvetica" w:cs="Helvetica"/>
          <w:color w:val="000000"/>
          <w:sz w:val="24"/>
          <w:szCs w:val="24"/>
        </w:rPr>
        <w:t>all of</w:t>
      </w:r>
      <w:proofErr w:type="gramEnd"/>
      <w:r w:rsidRPr="00627C0F">
        <w:rPr>
          <w:rFonts w:ascii="Helvetica" w:eastAsia="Times New Roman" w:hAnsi="Helvetica" w:cs="Helvetica"/>
          <w:color w:val="000000"/>
          <w:sz w:val="24"/>
          <w:szCs w:val="24"/>
        </w:rPr>
        <w:t xml:space="preserve"> the following requirements are satisfied:</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(a) The patient has completed an initial thirty-day supply of the drug. However, if the prescription continues the same medication as previously dispensed in a ninety-day supply, the initial thirty-day supply under this subsection (1) is not required;</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(b) The total quantity of dosage units dispensed does not exceed the total quantity of dosage units authorized by the prescriber on the prescription including refills;</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(c) The prescriber has not specified on the prescription that dispensing the prescription in an initial amount followed by periodic refills is medically necessary; and</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(d) The pharmacist is exercising his or her professional judgment.</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(2) In no case may a pharmacist dispense a greater supply of a drug pursuant to this section if the prescriber personally indicates, either orally or in their own handwriting, "no change to quantity," or words of similar meaning. Nothing in this section prohibits a prescriber from checking a box on a prescription marked "no change to quantity," provided that the prescriber personally initials the box or checkmark.</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(3) A pharmacist dispensing an increased supply of a drug pursuant to this section shall notify the prescriber of the increase in the quantity of dosage units dispensed.</w:t>
      </w:r>
    </w:p>
    <w:p w:rsidR="00627C0F" w:rsidRPr="00627C0F" w:rsidRDefault="00627C0F" w:rsidP="00627C0F">
      <w:pPr>
        <w:shd w:val="clear" w:color="auto" w:fill="FFFFFF"/>
        <w:spacing w:after="0" w:line="240" w:lineRule="auto"/>
        <w:ind w:firstLine="360"/>
        <w:rPr>
          <w:rFonts w:ascii="Helvetica" w:eastAsia="Times New Roman" w:hAnsi="Helvetica" w:cs="Helvetica"/>
          <w:color w:val="000000"/>
          <w:sz w:val="24"/>
          <w:szCs w:val="24"/>
        </w:rPr>
      </w:pPr>
      <w:r w:rsidRPr="00627C0F">
        <w:rPr>
          <w:rFonts w:ascii="Helvetica" w:eastAsia="Times New Roman" w:hAnsi="Helvetica" w:cs="Helvetica"/>
          <w:color w:val="000000"/>
          <w:sz w:val="24"/>
          <w:szCs w:val="24"/>
        </w:rPr>
        <w:t>(4) Nothing in this section may be construed to require a health benefit plan, health carrier, workers' compensation insurance plan, pharmacy benefit manager, or any other person or entity including, but not limited to, a state program or state employer, to provide coverage in a manner inconsistent with the beneficiary's or enrollee's plan benefit.</w:t>
      </w:r>
    </w:p>
    <w:p w:rsidR="00524768" w:rsidRDefault="009E076A"/>
    <w:p w:rsidR="00C6302F" w:rsidRDefault="00C6302F"/>
    <w:p w:rsidR="00C6302F" w:rsidRDefault="00C6302F"/>
    <w:p w:rsidR="00C6302F" w:rsidRDefault="00C6302F" w:rsidP="00C6302F">
      <w:pPr>
        <w:pStyle w:val="Heading3"/>
        <w:shd w:val="clear" w:color="auto" w:fill="FFFFFF"/>
        <w:spacing w:before="75" w:beforeAutospacing="0" w:after="150" w:afterAutospacing="0"/>
        <w:rPr>
          <w:rFonts w:ascii="Helvetica" w:hAnsi="Helvetica" w:cs="Helvetica"/>
          <w:color w:val="000000"/>
        </w:rPr>
      </w:pPr>
      <w:r>
        <w:rPr>
          <w:rFonts w:ascii="Helvetica" w:hAnsi="Helvetica" w:cs="Helvetica"/>
          <w:color w:val="000000"/>
        </w:rPr>
        <w:t xml:space="preserve">All prescriptions must be written on tamper resistant pads. </w:t>
      </w:r>
    </w:p>
    <w:p w:rsidR="00C6302F" w:rsidRDefault="00C6302F" w:rsidP="00C6302F">
      <w:pPr>
        <w:pStyle w:val="Heading3"/>
        <w:shd w:val="clear" w:color="auto" w:fill="FFFFFF"/>
        <w:spacing w:before="75" w:beforeAutospacing="0" w:after="150" w:afterAutospacing="0"/>
        <w:rPr>
          <w:rFonts w:ascii="Helvetica" w:hAnsi="Helvetica" w:cs="Helvetica"/>
          <w:color w:val="000000"/>
        </w:rPr>
      </w:pPr>
      <w:r>
        <w:rPr>
          <w:rFonts w:ascii="Helvetica" w:hAnsi="Helvetica" w:cs="Helvetica"/>
          <w:color w:val="000000"/>
        </w:rPr>
        <w:t>18.64.500</w:t>
      </w:r>
      <w:r>
        <w:rPr>
          <w:rFonts w:ascii="Helvetica" w:hAnsi="Helvetica" w:cs="Helvetica"/>
          <w:color w:val="000000"/>
        </w:rPr>
        <w:br/>
        <w:t>Tamper-resistant prescription pads or paper.</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(1) Every prescription written in this state by a licensed practitioner must be written on a tamper-resistant prescription pad or paper approved by the commission.</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 xml:space="preserve">(2) A pharmacist may not fill a written prescription from a licensed practitioner unless it is written on an approved tamper-resistant prescription pad or paper, except that a pharmacist </w:t>
      </w:r>
      <w:r>
        <w:rPr>
          <w:rFonts w:ascii="Helvetica" w:hAnsi="Helvetica" w:cs="Helvetica"/>
          <w:color w:val="000000"/>
        </w:rPr>
        <w:lastRenderedPageBreak/>
        <w:t>may provide emergency supplies in accordance with the commission and other insurance contract requirements.</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(3) If a hard copy of an electronic prescription is given directly to the patient, the manually signed hard copy prescription must be on approved tamper-resistant paper that meets the requirements of this section.</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(4) For the purposes of this section, "tamper-resistant prescription pads or paper" means a prescription pad or paper that has been approved by the commission for use and contains the following characteristics:</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(a) One or more industry-recognized features designed to prevent unauthorized copying of a completed or blank prescription form;</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(b) One or more industry-recognized features designed to prevent the erasure or modification of information written on the prescription form by the practitioner; and</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(c) One or more industry-recognized features designed to prevent the use of counterfeit prescription forms.</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(5) Practitioners shall employ reasonable safeguards to assure against theft or unauthorized use of prescriptions.</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(6) All vendors must have their tamper-resistant prescription pads or paper approved by the commission prior to the marketing or sale of pads or paper in Washington state.</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(7) The commission shall create a seal of approval that confirms that a pad or paper contains all three industry-recognized characteristics required by this section. The seal must be affixed to all prescription pads or paper used in this state.</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(8) The commission may adopt rules necessary for the administration of chapter 328, Laws of 2009.</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(9) The tamper-resistant prescription pad or paper requirements in this section shall not apply to:</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(a) Prescriptions that are transmitted to the pharmacy by telephone, facsimile, or electronic means; or</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t>(b) Prescriptions written for inpatients of a hospital, outpatients of a hospital, residents of a long-term care facility, patients of a hospice program, inpatients or residents of a mental health facility, or individuals incarcerated in a local, state, or federal correction facility, when the health care practitioner authorized to write prescriptions, or his or her authorized agent, writes the order into the patient's medical or clinical record, the order is given directly to the pharmacy, and the patient never has the opportunity to handle the written order.</w:t>
      </w:r>
    </w:p>
    <w:p w:rsidR="00C6302F" w:rsidRDefault="00C6302F" w:rsidP="00C6302F">
      <w:pPr>
        <w:shd w:val="clear" w:color="auto" w:fill="FFFFFF"/>
        <w:ind w:firstLine="360"/>
        <w:rPr>
          <w:rFonts w:ascii="Helvetica" w:hAnsi="Helvetica" w:cs="Helvetica"/>
          <w:color w:val="000000"/>
        </w:rPr>
      </w:pPr>
      <w:r>
        <w:rPr>
          <w:rFonts w:ascii="Helvetica" w:hAnsi="Helvetica" w:cs="Helvetica"/>
          <w:color w:val="000000"/>
        </w:rPr>
        <w:lastRenderedPageBreak/>
        <w:t xml:space="preserve">(10) All acts related to the prescribing, dispensing, and records maintenance of all prescriptions shall </w:t>
      </w:r>
      <w:proofErr w:type="gramStart"/>
      <w:r>
        <w:rPr>
          <w:rFonts w:ascii="Helvetica" w:hAnsi="Helvetica" w:cs="Helvetica"/>
          <w:color w:val="000000"/>
        </w:rPr>
        <w:t>be in compliance with</w:t>
      </w:r>
      <w:proofErr w:type="gramEnd"/>
      <w:r>
        <w:rPr>
          <w:rFonts w:ascii="Helvetica" w:hAnsi="Helvetica" w:cs="Helvetica"/>
          <w:color w:val="000000"/>
        </w:rPr>
        <w:t xml:space="preserve"> applicable federal and state laws, rules, and regulations.</w:t>
      </w:r>
    </w:p>
    <w:p w:rsidR="00C6302F" w:rsidRDefault="00C6302F"/>
    <w:sectPr w:rsidR="00C6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0F"/>
    <w:rsid w:val="00627C0F"/>
    <w:rsid w:val="00736C39"/>
    <w:rsid w:val="009E076A"/>
    <w:rsid w:val="00AD3764"/>
    <w:rsid w:val="00B81FA7"/>
    <w:rsid w:val="00C6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5A0E"/>
  <w15:chartTrackingRefBased/>
  <w15:docId w15:val="{4384D246-CE00-467A-AEDF-EE98B840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7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7C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6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6842">
      <w:bodyDiv w:val="1"/>
      <w:marLeft w:val="0"/>
      <w:marRight w:val="0"/>
      <w:marTop w:val="0"/>
      <w:marBottom w:val="0"/>
      <w:divBdr>
        <w:top w:val="none" w:sz="0" w:space="0" w:color="auto"/>
        <w:left w:val="none" w:sz="0" w:space="0" w:color="auto"/>
        <w:bottom w:val="none" w:sz="0" w:space="0" w:color="auto"/>
        <w:right w:val="none" w:sz="0" w:space="0" w:color="auto"/>
      </w:divBdr>
      <w:divsChild>
        <w:div w:id="1454786598">
          <w:marLeft w:val="0"/>
          <w:marRight w:val="0"/>
          <w:marTop w:val="0"/>
          <w:marBottom w:val="0"/>
          <w:divBdr>
            <w:top w:val="none" w:sz="0" w:space="0" w:color="auto"/>
            <w:left w:val="none" w:sz="0" w:space="0" w:color="auto"/>
            <w:bottom w:val="none" w:sz="0" w:space="0" w:color="auto"/>
            <w:right w:val="none" w:sz="0" w:space="0" w:color="auto"/>
          </w:divBdr>
        </w:div>
        <w:div w:id="2020934855">
          <w:marLeft w:val="0"/>
          <w:marRight w:val="0"/>
          <w:marTop w:val="0"/>
          <w:marBottom w:val="0"/>
          <w:divBdr>
            <w:top w:val="none" w:sz="0" w:space="0" w:color="auto"/>
            <w:left w:val="none" w:sz="0" w:space="0" w:color="auto"/>
            <w:bottom w:val="none" w:sz="0" w:space="0" w:color="auto"/>
            <w:right w:val="none" w:sz="0" w:space="0" w:color="auto"/>
          </w:divBdr>
        </w:div>
        <w:div w:id="1601452880">
          <w:marLeft w:val="0"/>
          <w:marRight w:val="0"/>
          <w:marTop w:val="0"/>
          <w:marBottom w:val="0"/>
          <w:divBdr>
            <w:top w:val="none" w:sz="0" w:space="0" w:color="auto"/>
            <w:left w:val="none" w:sz="0" w:space="0" w:color="auto"/>
            <w:bottom w:val="none" w:sz="0" w:space="0" w:color="auto"/>
            <w:right w:val="none" w:sz="0" w:space="0" w:color="auto"/>
          </w:divBdr>
        </w:div>
        <w:div w:id="12995124">
          <w:marLeft w:val="0"/>
          <w:marRight w:val="0"/>
          <w:marTop w:val="0"/>
          <w:marBottom w:val="0"/>
          <w:divBdr>
            <w:top w:val="none" w:sz="0" w:space="0" w:color="auto"/>
            <w:left w:val="none" w:sz="0" w:space="0" w:color="auto"/>
            <w:bottom w:val="none" w:sz="0" w:space="0" w:color="auto"/>
            <w:right w:val="none" w:sz="0" w:space="0" w:color="auto"/>
          </w:divBdr>
        </w:div>
        <w:div w:id="1212234563">
          <w:marLeft w:val="0"/>
          <w:marRight w:val="0"/>
          <w:marTop w:val="0"/>
          <w:marBottom w:val="0"/>
          <w:divBdr>
            <w:top w:val="none" w:sz="0" w:space="0" w:color="auto"/>
            <w:left w:val="none" w:sz="0" w:space="0" w:color="auto"/>
            <w:bottom w:val="none" w:sz="0" w:space="0" w:color="auto"/>
            <w:right w:val="none" w:sz="0" w:space="0" w:color="auto"/>
          </w:divBdr>
        </w:div>
        <w:div w:id="304550558">
          <w:marLeft w:val="0"/>
          <w:marRight w:val="0"/>
          <w:marTop w:val="0"/>
          <w:marBottom w:val="0"/>
          <w:divBdr>
            <w:top w:val="none" w:sz="0" w:space="0" w:color="auto"/>
            <w:left w:val="none" w:sz="0" w:space="0" w:color="auto"/>
            <w:bottom w:val="none" w:sz="0" w:space="0" w:color="auto"/>
            <w:right w:val="none" w:sz="0" w:space="0" w:color="auto"/>
          </w:divBdr>
        </w:div>
        <w:div w:id="1235510230">
          <w:marLeft w:val="0"/>
          <w:marRight w:val="0"/>
          <w:marTop w:val="0"/>
          <w:marBottom w:val="0"/>
          <w:divBdr>
            <w:top w:val="none" w:sz="0" w:space="0" w:color="auto"/>
            <w:left w:val="none" w:sz="0" w:space="0" w:color="auto"/>
            <w:bottom w:val="none" w:sz="0" w:space="0" w:color="auto"/>
            <w:right w:val="none" w:sz="0" w:space="0" w:color="auto"/>
          </w:divBdr>
        </w:div>
        <w:div w:id="882601235">
          <w:marLeft w:val="0"/>
          <w:marRight w:val="0"/>
          <w:marTop w:val="0"/>
          <w:marBottom w:val="0"/>
          <w:divBdr>
            <w:top w:val="none" w:sz="0" w:space="0" w:color="auto"/>
            <w:left w:val="none" w:sz="0" w:space="0" w:color="auto"/>
            <w:bottom w:val="none" w:sz="0" w:space="0" w:color="auto"/>
            <w:right w:val="none" w:sz="0" w:space="0" w:color="auto"/>
          </w:divBdr>
        </w:div>
        <w:div w:id="363599470">
          <w:marLeft w:val="0"/>
          <w:marRight w:val="0"/>
          <w:marTop w:val="0"/>
          <w:marBottom w:val="0"/>
          <w:divBdr>
            <w:top w:val="none" w:sz="0" w:space="0" w:color="auto"/>
            <w:left w:val="none" w:sz="0" w:space="0" w:color="auto"/>
            <w:bottom w:val="none" w:sz="0" w:space="0" w:color="auto"/>
            <w:right w:val="none" w:sz="0" w:space="0" w:color="auto"/>
          </w:divBdr>
        </w:div>
        <w:div w:id="140999066">
          <w:marLeft w:val="0"/>
          <w:marRight w:val="0"/>
          <w:marTop w:val="0"/>
          <w:marBottom w:val="0"/>
          <w:divBdr>
            <w:top w:val="none" w:sz="0" w:space="0" w:color="auto"/>
            <w:left w:val="none" w:sz="0" w:space="0" w:color="auto"/>
            <w:bottom w:val="none" w:sz="0" w:space="0" w:color="auto"/>
            <w:right w:val="none" w:sz="0" w:space="0" w:color="auto"/>
          </w:divBdr>
        </w:div>
        <w:div w:id="1202278428">
          <w:marLeft w:val="0"/>
          <w:marRight w:val="0"/>
          <w:marTop w:val="0"/>
          <w:marBottom w:val="0"/>
          <w:divBdr>
            <w:top w:val="none" w:sz="0" w:space="0" w:color="auto"/>
            <w:left w:val="none" w:sz="0" w:space="0" w:color="auto"/>
            <w:bottom w:val="none" w:sz="0" w:space="0" w:color="auto"/>
            <w:right w:val="none" w:sz="0" w:space="0" w:color="auto"/>
          </w:divBdr>
        </w:div>
        <w:div w:id="1648241703">
          <w:marLeft w:val="0"/>
          <w:marRight w:val="0"/>
          <w:marTop w:val="0"/>
          <w:marBottom w:val="0"/>
          <w:divBdr>
            <w:top w:val="none" w:sz="0" w:space="0" w:color="auto"/>
            <w:left w:val="none" w:sz="0" w:space="0" w:color="auto"/>
            <w:bottom w:val="none" w:sz="0" w:space="0" w:color="auto"/>
            <w:right w:val="none" w:sz="0" w:space="0" w:color="auto"/>
          </w:divBdr>
        </w:div>
        <w:div w:id="2077125517">
          <w:marLeft w:val="0"/>
          <w:marRight w:val="0"/>
          <w:marTop w:val="0"/>
          <w:marBottom w:val="0"/>
          <w:divBdr>
            <w:top w:val="none" w:sz="0" w:space="0" w:color="auto"/>
            <w:left w:val="none" w:sz="0" w:space="0" w:color="auto"/>
            <w:bottom w:val="none" w:sz="0" w:space="0" w:color="auto"/>
            <w:right w:val="none" w:sz="0" w:space="0" w:color="auto"/>
          </w:divBdr>
        </w:div>
        <w:div w:id="992756309">
          <w:marLeft w:val="0"/>
          <w:marRight w:val="0"/>
          <w:marTop w:val="0"/>
          <w:marBottom w:val="0"/>
          <w:divBdr>
            <w:top w:val="none" w:sz="0" w:space="0" w:color="auto"/>
            <w:left w:val="none" w:sz="0" w:space="0" w:color="auto"/>
            <w:bottom w:val="none" w:sz="0" w:space="0" w:color="auto"/>
            <w:right w:val="none" w:sz="0" w:space="0" w:color="auto"/>
          </w:divBdr>
        </w:div>
        <w:div w:id="1170100350">
          <w:marLeft w:val="0"/>
          <w:marRight w:val="0"/>
          <w:marTop w:val="0"/>
          <w:marBottom w:val="0"/>
          <w:divBdr>
            <w:top w:val="none" w:sz="0" w:space="0" w:color="auto"/>
            <w:left w:val="none" w:sz="0" w:space="0" w:color="auto"/>
            <w:bottom w:val="none" w:sz="0" w:space="0" w:color="auto"/>
            <w:right w:val="none" w:sz="0" w:space="0" w:color="auto"/>
          </w:divBdr>
        </w:div>
      </w:divsChild>
    </w:div>
    <w:div w:id="203562801">
      <w:bodyDiv w:val="1"/>
      <w:marLeft w:val="0"/>
      <w:marRight w:val="0"/>
      <w:marTop w:val="0"/>
      <w:marBottom w:val="0"/>
      <w:divBdr>
        <w:top w:val="none" w:sz="0" w:space="0" w:color="auto"/>
        <w:left w:val="none" w:sz="0" w:space="0" w:color="auto"/>
        <w:bottom w:val="none" w:sz="0" w:space="0" w:color="auto"/>
        <w:right w:val="none" w:sz="0" w:space="0" w:color="auto"/>
      </w:divBdr>
      <w:divsChild>
        <w:div w:id="715278445">
          <w:marLeft w:val="0"/>
          <w:marRight w:val="0"/>
          <w:marTop w:val="0"/>
          <w:marBottom w:val="0"/>
          <w:divBdr>
            <w:top w:val="none" w:sz="0" w:space="0" w:color="auto"/>
            <w:left w:val="none" w:sz="0" w:space="0" w:color="auto"/>
            <w:bottom w:val="none" w:sz="0" w:space="0" w:color="auto"/>
            <w:right w:val="none" w:sz="0" w:space="0" w:color="auto"/>
          </w:divBdr>
        </w:div>
        <w:div w:id="562985164">
          <w:marLeft w:val="0"/>
          <w:marRight w:val="0"/>
          <w:marTop w:val="0"/>
          <w:marBottom w:val="0"/>
          <w:divBdr>
            <w:top w:val="none" w:sz="0" w:space="0" w:color="auto"/>
            <w:left w:val="none" w:sz="0" w:space="0" w:color="auto"/>
            <w:bottom w:val="none" w:sz="0" w:space="0" w:color="auto"/>
            <w:right w:val="none" w:sz="0" w:space="0" w:color="auto"/>
          </w:divBdr>
        </w:div>
        <w:div w:id="1376853299">
          <w:marLeft w:val="0"/>
          <w:marRight w:val="0"/>
          <w:marTop w:val="0"/>
          <w:marBottom w:val="0"/>
          <w:divBdr>
            <w:top w:val="none" w:sz="0" w:space="0" w:color="auto"/>
            <w:left w:val="none" w:sz="0" w:space="0" w:color="auto"/>
            <w:bottom w:val="none" w:sz="0" w:space="0" w:color="auto"/>
            <w:right w:val="none" w:sz="0" w:space="0" w:color="auto"/>
          </w:divBdr>
        </w:div>
        <w:div w:id="1102384442">
          <w:marLeft w:val="0"/>
          <w:marRight w:val="0"/>
          <w:marTop w:val="0"/>
          <w:marBottom w:val="0"/>
          <w:divBdr>
            <w:top w:val="none" w:sz="0" w:space="0" w:color="auto"/>
            <w:left w:val="none" w:sz="0" w:space="0" w:color="auto"/>
            <w:bottom w:val="none" w:sz="0" w:space="0" w:color="auto"/>
            <w:right w:val="none" w:sz="0" w:space="0" w:color="auto"/>
          </w:divBdr>
        </w:div>
        <w:div w:id="2143308901">
          <w:marLeft w:val="0"/>
          <w:marRight w:val="0"/>
          <w:marTop w:val="0"/>
          <w:marBottom w:val="0"/>
          <w:divBdr>
            <w:top w:val="none" w:sz="0" w:space="0" w:color="auto"/>
            <w:left w:val="none" w:sz="0" w:space="0" w:color="auto"/>
            <w:bottom w:val="none" w:sz="0" w:space="0" w:color="auto"/>
            <w:right w:val="none" w:sz="0" w:space="0" w:color="auto"/>
          </w:divBdr>
        </w:div>
        <w:div w:id="1483276325">
          <w:marLeft w:val="0"/>
          <w:marRight w:val="0"/>
          <w:marTop w:val="0"/>
          <w:marBottom w:val="0"/>
          <w:divBdr>
            <w:top w:val="none" w:sz="0" w:space="0" w:color="auto"/>
            <w:left w:val="none" w:sz="0" w:space="0" w:color="auto"/>
            <w:bottom w:val="none" w:sz="0" w:space="0" w:color="auto"/>
            <w:right w:val="none" w:sz="0" w:space="0" w:color="auto"/>
          </w:divBdr>
        </w:div>
        <w:div w:id="629673329">
          <w:marLeft w:val="0"/>
          <w:marRight w:val="0"/>
          <w:marTop w:val="0"/>
          <w:marBottom w:val="0"/>
          <w:divBdr>
            <w:top w:val="none" w:sz="0" w:space="0" w:color="auto"/>
            <w:left w:val="none" w:sz="0" w:space="0" w:color="auto"/>
            <w:bottom w:val="none" w:sz="0" w:space="0" w:color="auto"/>
            <w:right w:val="none" w:sz="0" w:space="0" w:color="auto"/>
          </w:divBdr>
        </w:div>
        <w:div w:id="816066287">
          <w:marLeft w:val="0"/>
          <w:marRight w:val="0"/>
          <w:marTop w:val="0"/>
          <w:marBottom w:val="0"/>
          <w:divBdr>
            <w:top w:val="none" w:sz="0" w:space="0" w:color="auto"/>
            <w:left w:val="none" w:sz="0" w:space="0" w:color="auto"/>
            <w:bottom w:val="none" w:sz="0" w:space="0" w:color="auto"/>
            <w:right w:val="none" w:sz="0" w:space="0" w:color="auto"/>
          </w:divBdr>
        </w:div>
      </w:divsChild>
    </w:div>
    <w:div w:id="1488594783">
      <w:bodyDiv w:val="1"/>
      <w:marLeft w:val="0"/>
      <w:marRight w:val="0"/>
      <w:marTop w:val="0"/>
      <w:marBottom w:val="0"/>
      <w:divBdr>
        <w:top w:val="none" w:sz="0" w:space="0" w:color="auto"/>
        <w:left w:val="none" w:sz="0" w:space="0" w:color="auto"/>
        <w:bottom w:val="none" w:sz="0" w:space="0" w:color="auto"/>
        <w:right w:val="none" w:sz="0" w:space="0" w:color="auto"/>
      </w:divBdr>
      <w:divsChild>
        <w:div w:id="998117454">
          <w:marLeft w:val="-225"/>
          <w:marRight w:val="-225"/>
          <w:marTop w:val="0"/>
          <w:marBottom w:val="0"/>
          <w:divBdr>
            <w:top w:val="none" w:sz="0" w:space="0" w:color="auto"/>
            <w:left w:val="none" w:sz="0" w:space="0" w:color="auto"/>
            <w:bottom w:val="none" w:sz="0" w:space="0" w:color="auto"/>
            <w:right w:val="none" w:sz="0" w:space="0" w:color="auto"/>
          </w:divBdr>
          <w:divsChild>
            <w:div w:id="751009072">
              <w:marLeft w:val="0"/>
              <w:marRight w:val="0"/>
              <w:marTop w:val="0"/>
              <w:marBottom w:val="0"/>
              <w:divBdr>
                <w:top w:val="none" w:sz="0" w:space="0" w:color="auto"/>
                <w:left w:val="none" w:sz="0" w:space="0" w:color="auto"/>
                <w:bottom w:val="none" w:sz="0" w:space="0" w:color="auto"/>
                <w:right w:val="none" w:sz="0" w:space="0" w:color="auto"/>
              </w:divBdr>
            </w:div>
          </w:divsChild>
        </w:div>
        <w:div w:id="1434284074">
          <w:marLeft w:val="-225"/>
          <w:marRight w:val="-225"/>
          <w:marTop w:val="0"/>
          <w:marBottom w:val="0"/>
          <w:divBdr>
            <w:top w:val="none" w:sz="0" w:space="0" w:color="auto"/>
            <w:left w:val="none" w:sz="0" w:space="0" w:color="auto"/>
            <w:bottom w:val="none" w:sz="0" w:space="0" w:color="auto"/>
            <w:right w:val="none" w:sz="0" w:space="0" w:color="auto"/>
          </w:divBdr>
          <w:divsChild>
            <w:div w:id="454177267">
              <w:marLeft w:val="0"/>
              <w:marRight w:val="0"/>
              <w:marTop w:val="0"/>
              <w:marBottom w:val="0"/>
              <w:divBdr>
                <w:top w:val="none" w:sz="0" w:space="0" w:color="auto"/>
                <w:left w:val="none" w:sz="0" w:space="0" w:color="auto"/>
                <w:bottom w:val="none" w:sz="0" w:space="0" w:color="auto"/>
                <w:right w:val="none" w:sz="0" w:space="0" w:color="auto"/>
              </w:divBdr>
            </w:div>
          </w:divsChild>
        </w:div>
        <w:div w:id="442842716">
          <w:marLeft w:val="0"/>
          <w:marRight w:val="0"/>
          <w:marTop w:val="0"/>
          <w:marBottom w:val="0"/>
          <w:divBdr>
            <w:top w:val="none" w:sz="0" w:space="0" w:color="auto"/>
            <w:left w:val="none" w:sz="0" w:space="0" w:color="auto"/>
            <w:bottom w:val="none" w:sz="0" w:space="0" w:color="auto"/>
            <w:right w:val="none" w:sz="0" w:space="0" w:color="auto"/>
          </w:divBdr>
        </w:div>
        <w:div w:id="1586574405">
          <w:marLeft w:val="0"/>
          <w:marRight w:val="0"/>
          <w:marTop w:val="0"/>
          <w:marBottom w:val="0"/>
          <w:divBdr>
            <w:top w:val="none" w:sz="0" w:space="0" w:color="auto"/>
            <w:left w:val="none" w:sz="0" w:space="0" w:color="auto"/>
            <w:bottom w:val="none" w:sz="0" w:space="0" w:color="auto"/>
            <w:right w:val="none" w:sz="0" w:space="0" w:color="auto"/>
          </w:divBdr>
        </w:div>
        <w:div w:id="1140809275">
          <w:marLeft w:val="0"/>
          <w:marRight w:val="0"/>
          <w:marTop w:val="0"/>
          <w:marBottom w:val="0"/>
          <w:divBdr>
            <w:top w:val="none" w:sz="0" w:space="0" w:color="auto"/>
            <w:left w:val="none" w:sz="0" w:space="0" w:color="auto"/>
            <w:bottom w:val="none" w:sz="0" w:space="0" w:color="auto"/>
            <w:right w:val="none" w:sz="0" w:space="0" w:color="auto"/>
          </w:divBdr>
        </w:div>
        <w:div w:id="713969188">
          <w:marLeft w:val="0"/>
          <w:marRight w:val="0"/>
          <w:marTop w:val="0"/>
          <w:marBottom w:val="0"/>
          <w:divBdr>
            <w:top w:val="none" w:sz="0" w:space="0" w:color="auto"/>
            <w:left w:val="none" w:sz="0" w:space="0" w:color="auto"/>
            <w:bottom w:val="none" w:sz="0" w:space="0" w:color="auto"/>
            <w:right w:val="none" w:sz="0" w:space="0" w:color="auto"/>
          </w:divBdr>
        </w:div>
        <w:div w:id="1712804560">
          <w:marLeft w:val="0"/>
          <w:marRight w:val="0"/>
          <w:marTop w:val="0"/>
          <w:marBottom w:val="0"/>
          <w:divBdr>
            <w:top w:val="none" w:sz="0" w:space="0" w:color="auto"/>
            <w:left w:val="none" w:sz="0" w:space="0" w:color="auto"/>
            <w:bottom w:val="none" w:sz="0" w:space="0" w:color="auto"/>
            <w:right w:val="none" w:sz="0" w:space="0" w:color="auto"/>
          </w:divBdr>
        </w:div>
        <w:div w:id="650795145">
          <w:marLeft w:val="0"/>
          <w:marRight w:val="0"/>
          <w:marTop w:val="0"/>
          <w:marBottom w:val="0"/>
          <w:divBdr>
            <w:top w:val="none" w:sz="0" w:space="0" w:color="auto"/>
            <w:left w:val="none" w:sz="0" w:space="0" w:color="auto"/>
            <w:bottom w:val="none" w:sz="0" w:space="0" w:color="auto"/>
            <w:right w:val="none" w:sz="0" w:space="0" w:color="auto"/>
          </w:divBdr>
        </w:div>
        <w:div w:id="365181550">
          <w:marLeft w:val="0"/>
          <w:marRight w:val="0"/>
          <w:marTop w:val="0"/>
          <w:marBottom w:val="0"/>
          <w:divBdr>
            <w:top w:val="none" w:sz="0" w:space="0" w:color="auto"/>
            <w:left w:val="none" w:sz="0" w:space="0" w:color="auto"/>
            <w:bottom w:val="none" w:sz="0" w:space="0" w:color="auto"/>
            <w:right w:val="none" w:sz="0" w:space="0" w:color="auto"/>
          </w:divBdr>
        </w:div>
        <w:div w:id="702945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ps.leg.wa.gov/WAC/default.aspx?cite=246-869-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2017-08-29T23:37:00Z</dcterms:created>
  <dcterms:modified xsi:type="dcterms:W3CDTF">2017-08-29T23:49:00Z</dcterms:modified>
</cp:coreProperties>
</file>