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Vibe Caffè — Modul 4, Sesiunea 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Responsive, Toggle Coloane, Banner Promoțional, Valută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31 martie 2026</w:t>
      </w:r>
    </w:p>
    <w:p>
      <w:pPr>
        <w:pStyle w:val="Heading1"/>
        <w:pBdr>
          <w:bottom w:val="single" w:color="14B8A6" w:sz="4"/>
        </w:pBdr>
        <w:spacing w:after="120" w:before="400"/>
      </w:pPr>
      <w:r>
        <w:t xml:space="preserve">1. Ce am construit în această sesiune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Această sesiune a adăugat patru funcționalități distincte proiectului Vibe Caffè. Prima a fost un audit complet de responsive design, urmat de un toggle pentru numărul de coloane din meniu, un banner promoțional configurat din panoul admin și posibilitatea de a vizualiza prețurile în EUR sau USD la cursul zilei de la BNR.</w:t>
      </w:r>
    </w:p>
    <w:p>
      <w:pPr>
        <w:pStyle w:val="Heading1"/>
        <w:pBdr>
          <w:bottom w:val="single" w:color="14B8A6" w:sz="4"/>
        </w:pBdr>
        <w:spacing w:after="120" w:before="400"/>
      </w:pPr>
      <w:r>
        <w:t xml:space="preserve">2. Audit și fix responsive design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Am auditat toate componentele noi adăugate în sesiunea anterioară pentru comportament corect pe ecrane mici (telefon, tabletă). Codul existent folosea deja patternuri responsive corecte: grid-cols-1 md:grid-cols-3, flex-col md:flex-row. Am identificat și remediat trei locuri specifice.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Admin — tabs: div-ul cu tab-urile "Rezervări / Meniu / Sărbători" folosea flex gap-2 fără flex-wrap. Pe telefon, tab-ul "🎉 Sărbători" ieșea în afara ecranului. Fix: adăugat flex-wrap.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Admin — bara bulk: Bara cu acțiunile de selecție în masă (Confirmă/Respinge/Șterge) avea butoanele într-un div fără flex-wrap. Pe ecrane înguste, butoanele se suprapuneau. Fix: adăugat flex-wrap pe ambele containere.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Admin — butoane export: Butoanele Export Excel/PDF din header-ul Rezervărilor au primit flex-wrap pentru a se rupe pe linie nouă pe ecrane mici.</w:t>
      </w:r>
    </w:p>
    <w:p>
      <w:pPr>
        <w:pStyle w:val="Heading1"/>
        <w:pBdr>
          <w:bottom w:val="single" w:color="14B8A6" w:sz="4"/>
        </w:pBdr>
        <w:spacing w:after="120" w:before="400"/>
      </w:pPr>
      <w:r>
        <w:t xml:space="preserve">3. Toggle 3/4/5 coloane meniu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Vizitatorii pot acum alege câte coloane să afișeze produsele din meniu: 3 (implicit), 4 sau 5. Preferința se salvează în localStorage și este restaurată la fiecare vizită.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Implementare: constanta COL_CLASSES mapează fiecare opțiune la clase Tailwind corespunzătoare. Pe desktop 4 coloane = lg:grid-cols-4 cu md:grid-cols-2. Pe desktop 5 coloane = lg:grid-cols-5 cu md:grid-cols-3. Pe mobil rămâne întotdeauna 1 coloană.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UI-ul de toggle apare doar pe ecrane md+ (hidden md:flex) alături de toggle-ul de valută, formând un singur rând de controale deasupra grilei de produse.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Lecție cheie: localStorage este sincron și disponibil imediat la mount în useEffect. Nu are nevoie de async/await. Valoarea salvată trebuie validată (saved === "4" || saved === "5") pentru a evita injectarea de valori arbitrare.</w:t>
      </w:r>
    </w:p>
    <w:p>
      <w:pPr>
        <w:pStyle w:val="Heading1"/>
        <w:pBdr>
          <w:bottom w:val="single" w:color="14B8A6" w:sz="4"/>
        </w:pBdr>
        <w:spacing w:after="120" w:before="400"/>
      </w:pPr>
      <w:r>
        <w:t xml:space="preserve">4. Banner promoțional configurat din Admin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Am adăugat un sistem de banner promoțional care afișează o ofertă specială deasupra grilei de meniu (de ex: "Comandă de peste 50 RON și primești 10% reducere!"). Bannerul poate fi activat/dezactivat și configurat direct din panoul Admin.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Tabel Supabase necesar (rulează în SQL Editor):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CREATE TABLE promo_config (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id int PRIMARY KEY DEFAULT 1,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enabled boolean DEFAULT false,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min_order numeric DEFAULT 50,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discount_type text DEFAULT 'percent',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discount_amount numeric DEFAULT 10,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message text DEFAULT ''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);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INSERT INTO promo_config (id) VALUES (1);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API: GET /api/promo returnează configurația. PATCH /api/promo actualizează. Dacă tabelul nu există, request-ul eșuează silențios (catch) și bannerul nu apare.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Admin UI: În tab-ul "Sărbători" am adăugat o nouă secțiune "Banner promoțional meniu" cu: toggle activ/inactiv (switch animat), câmp comandă minimă (RON), tip reducere (procent/valoare), valoare reducere, mesaj personalizat opțional și un preview live.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Mesaj automat: dacă câmpul "mesaj personalizat" este gol, bannerul generează automat textul din valorile configurate (min_order, discount_type, discount_amount).</w:t>
      </w:r>
    </w:p>
    <w:p>
      <w:pPr>
        <w:pStyle w:val="Heading1"/>
        <w:pBdr>
          <w:bottom w:val="single" w:color="14B8A6" w:sz="4"/>
        </w:pBdr>
        <w:spacing w:after="120" w:before="400"/>
      </w:pPr>
      <w:r>
        <w:t xml:space="preserve">5. Prețuri în EUR/USD via API BNR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Vizitatorii pot acum vizualiza prețurile din meniu convertite în EUR sau USD la cursul oficial BNR din ziua respectivă. Toggle-ul RON/EUR/USD apare deasupra grilei de produse, lângă toggle-ul de coloane.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API /api/curs: Apelează feed-ul XML public al BNR (https://www.bnr.ro/nbrfxrates.xml) fără autentificare. Parsează cursurile EUR și USD cu expresii regulate. Implementează cache în memorie cu TTL de 1 oră — BNR actualizează cursul o singură dată pe zi, deci 3600 de apeluri pe oră la BNR ar fi inutil și ar putea fi blocat.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Fallback: dacă BNR nu răspunde dar avem un cache expirat, returnăm datele vechi cu câmpul stale: true. Dacă nu există niciun cache, returnăm HTTP 503.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Conversie în component: funcția toDisplayPrice(ron) convertește orice preț RON în valuta selectată. Toate prețurile afișate (prețul de bază, prețul cu reducere, add-on-uri, totalul estimat) trec prin această funcție.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Cursul afișat: sub butoanele de toggle apare textul "1€=X.XX RON · 1$=Y.YY RON" pentru transparență completă față de vizitator.</w:t>
      </w:r>
    </w:p>
    <w:p>
      <w:pPr>
        <w:pStyle w:val="Heading1"/>
        <w:pBdr>
          <w:bottom w:val="single" w:color="14B8A6" w:sz="4"/>
        </w:pBdr>
        <w:spacing w:after="120" w:before="400"/>
      </w:pPr>
      <w:r>
        <w:t xml:space="preserve">6. Fișiere modificate și create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app/admin/page.tsx — adăugat: flex-wrap pe tabs și bulk bar; state promoCfg/savingPromo/promoMsg; fetchHoliday include /api/promo; savePromoConfig(); panoul UI pentru banner promoțional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components/MenuStarter.tsx — adăugat: tipuri Currency, CursValutar, PromoConfig; state currency/curs/promo; fetch /api/promo și /api/curs la mount; toDisplayPrice(); toggle UI valută+coloane; prețuri convertite în card și add-on panel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app/api/promo/route.ts — NOU: GET + PATCH pentru promo_config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app/api/curs/route.ts — NOU: GET cu fetch BNR XML, parsare EUR/USD, cache TTL 1h</w:t>
      </w:r>
    </w:p>
    <w:p>
      <w:pPr>
        <w:pStyle w:val="Heading1"/>
        <w:pBdr>
          <w:bottom w:val="single" w:color="14B8A6" w:sz="4"/>
        </w:pBdr>
        <w:spacing w:after="120" w:before="400"/>
      </w:pPr>
      <w:r>
        <w:t xml:space="preserve">7. Concepte cheie din această sesiune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localStorage: storage sincron în browser, persistent între sesiuni. Util pentru preferințe UI (nu date sensibile). Se citește în useEffect pentru a evita hidration mismatch în Next.js.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Cache în memorie (server-side): o variabilă let cache la nivelul modulului persistă între request-uri în același process Node.js. TTL = Time To Live, verificat cu Date.now(). Soluție simplă pentru API-uri externe cu date lent-schimbătoare.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XML parsing fără bibliotecă: expresii regulate sunt suficiente pentru extragerea valorilor din XML structurat și previzibil. Soluție mai ușoară decât importul unui parser XML.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Stale data pattern: dacă sursa externă eșuează, returnăm datele vechi (stale) în loc de eroare. Experiența vizitatorului este mai bună cu un curs de ieri decât cu un mesaj de eroare.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Toggle UI cu preview live: bannerul promoțional din admin afișează un preview în timp real al mesajului care va apărea pe site, înainte de salvare. Acest pattern reduce erorile de configurare.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2026-03-31T11:30:05.849Z</dcterms:created>
  <dcterms:modified xsi:type="dcterms:W3CDTF">2026-03-31T11:30:05.853Z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