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8AC09" w14:textId="77777777" w:rsidR="00C505DA" w:rsidRDefault="00C505DA" w:rsidP="00254A01">
      <w:pPr>
        <w:pStyle w:val="Title"/>
      </w:pPr>
      <w:r w:rsidRPr="00254A01">
        <w:t>Recalibrating ASU’s Freshman Enrollment Funnel Model</w:t>
      </w:r>
    </w:p>
    <w:p w14:paraId="7C24FFC8" w14:textId="77777777" w:rsidR="00254A01" w:rsidRPr="00BB7121" w:rsidRDefault="00254A01" w:rsidP="00254A01">
      <w:pPr>
        <w:pStyle w:val="Subtitle"/>
      </w:pPr>
      <w:r w:rsidRPr="00BB7121">
        <w:t>Source: OpenAI Deep Research, April 10, 2025</w:t>
      </w:r>
    </w:p>
    <w:p w14:paraId="1FFC915D" w14:textId="77777777" w:rsidR="00C505DA" w:rsidRDefault="00C505DA" w:rsidP="00CD155D">
      <w:r>
        <w:t xml:space="preserve">To align the funnel model with </w:t>
      </w:r>
      <w:r>
        <w:rPr>
          <w:rStyle w:val="Strong"/>
        </w:rPr>
        <w:t>actual 2024 freshman enrollment (~17,000)</w:t>
      </w:r>
      <w:r>
        <w:t xml:space="preserve"> and maintain realism, we need to adjust several parameter </w:t>
      </w:r>
      <w:proofErr w:type="gramStart"/>
      <w:r>
        <w:t>defaults</w:t>
      </w:r>
      <w:proofErr w:type="gramEnd"/>
      <w:r>
        <w:t xml:space="preserve"> and their ranges based on updated data. Below we review each key parameter in the model – from application rates to yield – and suggest evidence-based values and range bounds. We also flag a few structural issues (like duplicated steps or misapplied multipliers) and propose minor fixes to improve the model’s accuracy.</w:t>
      </w:r>
    </w:p>
    <w:p w14:paraId="37616A30" w14:textId="77777777" w:rsidR="00C505DA" w:rsidRDefault="00C505DA" w:rsidP="00CD155D">
      <w:pPr>
        <w:pStyle w:val="Heading1"/>
      </w:pPr>
      <w:r>
        <w:t xml:space="preserve">Demographics &amp; Application Rates (α, </w:t>
      </w:r>
      <w:proofErr w:type="spellStart"/>
      <w:r>
        <w:t>X_instate</w:t>
      </w:r>
      <w:proofErr w:type="spellEnd"/>
      <w:r>
        <w:t>, X_OOS)</w:t>
      </w:r>
    </w:p>
    <w:p w14:paraId="2F337F44" w14:textId="007C071B" w:rsidR="00C505DA" w:rsidRDefault="00C505DA" w:rsidP="00CD155D">
      <w:r>
        <w:rPr>
          <w:rStyle w:val="Strong"/>
        </w:rPr>
        <w:t>Arizona HS Graduates (</w:t>
      </w:r>
      <w:proofErr w:type="spellStart"/>
      <w:r>
        <w:rPr>
          <w:rStyle w:val="Strong"/>
        </w:rPr>
        <w:t>X_instate</w:t>
      </w:r>
      <w:proofErr w:type="spellEnd"/>
      <w:r>
        <w:rPr>
          <w:rStyle w:val="Strong"/>
        </w:rPr>
        <w:t>):</w:t>
      </w:r>
      <w:r>
        <w:t xml:space="preserve"> The model’s default of 65,000 Arizona high school grads per year may be a bit low for 2024. Recent data show Arizona produces on the order of 70k–75k graduates annually</w:t>
      </w:r>
      <w:r>
        <w:rPr>
          <w:rFonts w:ascii="Arial" w:hAnsi="Arial" w:cs="Arial"/>
        </w:rPr>
        <w:t>​</w:t>
      </w:r>
      <w:r>
        <w:t xml:space="preserve">. For instance, WICHE projections and state reports indicated </w:t>
      </w:r>
      <w:r>
        <w:rPr>
          <w:rStyle w:val="Strong"/>
        </w:rPr>
        <w:t>~74,000 graduates in 2022</w:t>
      </w:r>
      <w:r>
        <w:t xml:space="preserve"> (with slight growth yearly). We should consider nudging the default up (e.g. ~70,000) and extending the upper range beyond 80k if looking further out.</w:t>
      </w:r>
    </w:p>
    <w:p w14:paraId="65A626A6" w14:textId="187DFF69" w:rsidR="00C505DA" w:rsidRDefault="00C505DA" w:rsidP="00CD155D">
      <w:r>
        <w:rPr>
          <w:rStyle w:val="Strong"/>
        </w:rPr>
        <w:t>Non-AZ HS Graduates (X_OOS):</w:t>
      </w:r>
      <w:r>
        <w:t xml:space="preserve"> ~3.7 million is a reasonable estimate for total U.S. high school grads per year. NCES data report roughly </w:t>
      </w:r>
      <w:r>
        <w:rPr>
          <w:rStyle w:val="Strong"/>
        </w:rPr>
        <w:t>3.7 million graduates in 2018-19</w:t>
      </w:r>
      <w:r>
        <w:t>, with a slight decline or plateau into the early 2020s. The current range (3.7–3.9M) is acceptable, though we might center the default nearer 3.8M if using 2024 as a baseline. This ensures the out-of-state pool reflects national totals</w:t>
      </w:r>
      <w:r>
        <w:rPr>
          <w:rFonts w:ascii="Arial" w:hAnsi="Arial" w:cs="Arial"/>
        </w:rPr>
        <w:t>​</w:t>
      </w:r>
      <w:r>
        <w:t>.</w:t>
      </w:r>
    </w:p>
    <w:p w14:paraId="32258B11" w14:textId="294863F9" w:rsidR="00C505DA" w:rsidRDefault="00C505DA" w:rsidP="00CD155D">
      <w:r>
        <w:rPr>
          <w:rStyle w:val="Strong"/>
        </w:rPr>
        <w:t>4-year College Application Rate (α):</w:t>
      </w:r>
      <w:r>
        <w:t xml:space="preserve"> Default α = 0.27 (27% of AZ grads apply to four-year colleges) appears low. Nationally, about </w:t>
      </w:r>
      <w:r>
        <w:rPr>
          <w:rStyle w:val="Strong"/>
        </w:rPr>
        <w:t>40–45% of high school completers enroll directly in four-year institutions</w:t>
      </w:r>
      <w:r w:rsidR="00F36E9C">
        <w:rPr>
          <w:rStyle w:val="Strong"/>
        </w:rPr>
        <w:t xml:space="preserve"> (</w:t>
      </w:r>
      <w:r>
        <w:rPr>
          <w:rFonts w:ascii="Arial" w:hAnsi="Arial" w:cs="Arial"/>
        </w:rPr>
        <w:t>​</w:t>
      </w:r>
      <w:hyperlink r:id="rId5" w:anchor=":~:text=ASU%20admitted%2088,91" w:tgtFrame="_blank" w:history="1">
        <w:r>
          <w:rPr>
            <w:rStyle w:val="max-w-full"/>
            <w:color w:val="0000FF"/>
            <w:u w:val="single"/>
          </w:rPr>
          <w:t>en.wikipedia.org</w:t>
        </w:r>
      </w:hyperlink>
      <w:r w:rsidR="00F36E9C">
        <w:t>)</w:t>
      </w:r>
      <w:r>
        <w:t>, though Arizona’s rate is lower. Arizona has historically had a modest college-going rate – including community colleges, about ~50–55% of grads attend college immediately, with perhaps 25–30% going to a four-year college. For example, in 2020 the national four-year enrollment rate was ~44%</w:t>
      </w:r>
      <w:r>
        <w:rPr>
          <w:rFonts w:ascii="Arial" w:hAnsi="Arial" w:cs="Arial"/>
        </w:rPr>
        <w:t>​</w:t>
      </w:r>
      <w:r w:rsidR="00F729CD">
        <w:rPr>
          <w:rFonts w:ascii="Arial" w:hAnsi="Arial" w:cs="Arial"/>
        </w:rPr>
        <w:t xml:space="preserve"> (</w:t>
      </w:r>
      <w:hyperlink r:id="rId6" w:anchor=":~:text=ASU%20admitted%2088,91" w:tgtFrame="_blank" w:history="1">
        <w:r>
          <w:rPr>
            <w:rStyle w:val="max-w-full"/>
            <w:color w:val="0000FF"/>
            <w:u w:val="single"/>
          </w:rPr>
          <w:t>en.wikipedia.org</w:t>
        </w:r>
      </w:hyperlink>
      <w:r w:rsidR="00F729CD">
        <w:t>)</w:t>
      </w:r>
      <w:r>
        <w:t xml:space="preserve">, while Arizona’s was likely around the high 20s. Given recent trends (more students pursuing 4-year degrees), </w:t>
      </w:r>
      <w:r>
        <w:rPr>
          <w:rStyle w:val="Strong"/>
        </w:rPr>
        <w:t>α could be increased to ~0.30</w:t>
      </w:r>
      <w:r>
        <w:t xml:space="preserve"> by default, with a plausible range of ~0.25 (lower-bound for historically low college-going) up to ~0.35 (if college participation rises). This captures realistic variation. An α of 0.30–0.32 would mean roughly 21,000–23,000 AZ grads applying to four-year colleges, which fits better with observed numbers (e.g. ~22k Arizona students went directly to a 4-yr college in 2018).</w:t>
      </w:r>
    </w:p>
    <w:p w14:paraId="6554E011" w14:textId="77777777" w:rsidR="00C505DA" w:rsidRDefault="00C505DA" w:rsidP="00CD155D">
      <w:r>
        <w:rPr>
          <w:rStyle w:val="Strong"/>
        </w:rPr>
        <w:lastRenderedPageBreak/>
        <w:t>Rationale:</w:t>
      </w:r>
      <w:r>
        <w:t xml:space="preserve"> Raising α increases the in-state pipeline. Many Arizona students who previously might only consider community college or work are now applying to universities, especially with expanded online options and recruitment. Thus, α=0.30 (range 25–35%) is more in line with current behavior.</w:t>
      </w:r>
    </w:p>
    <w:p w14:paraId="0424E4AA" w14:textId="77777777" w:rsidR="00C505DA" w:rsidRDefault="00C505DA" w:rsidP="00CD155D">
      <w:r>
        <w:rPr>
          <w:rStyle w:val="Strong"/>
        </w:rPr>
        <w:t>Growth Rate (</w:t>
      </w:r>
      <w:proofErr w:type="spellStart"/>
      <w:r>
        <w:rPr>
          <w:rStyle w:val="Strong"/>
        </w:rPr>
        <w:t>g_growth</w:t>
      </w:r>
      <w:proofErr w:type="spellEnd"/>
      <w:r>
        <w:rPr>
          <w:rStyle w:val="Strong"/>
        </w:rPr>
        <w:t>):</w:t>
      </w:r>
      <w:r>
        <w:t xml:space="preserve"> This parameter (–1% to +1%) can remain as is, since it’s scenario-based. Arizona’s high school graduate counts are relatively flat to mildly growing (on the order of +0.5% annually</w:t>
      </w:r>
      <w:r>
        <w:rPr>
          <w:rFonts w:ascii="Arial" w:hAnsi="Arial" w:cs="Arial"/>
        </w:rPr>
        <w:t>​</w:t>
      </w:r>
      <w:r>
        <w:rPr>
          <w:rStyle w:val="max-w-full"/>
        </w:rPr>
        <w:t>file-61s6tjfzxd3b9bdj2psxfu</w:t>
      </w:r>
      <w:r>
        <w:t>). The zero default is fine for a “current” scenario; no change needed here beyond possibly clarifying that +0.005 (0.5%) is a realistic annual growth.</w:t>
      </w:r>
    </w:p>
    <w:p w14:paraId="1665043C" w14:textId="77777777" w:rsidR="00C505DA" w:rsidRDefault="00C505DA" w:rsidP="003E7509">
      <w:pPr>
        <w:pStyle w:val="Heading1"/>
      </w:pPr>
      <w:r>
        <w:t>In-State vs Out-of-State Student Flow (β_in and β_OOS)</w:t>
      </w:r>
    </w:p>
    <w:p w14:paraId="3C60274C" w14:textId="482F4C9E" w:rsidR="00C505DA" w:rsidRDefault="00C505DA" w:rsidP="00CD155D">
      <w:r>
        <w:rPr>
          <w:rStyle w:val="Strong"/>
        </w:rPr>
        <w:t>In-State Retention (β_in):</w:t>
      </w:r>
      <w:r>
        <w:t xml:space="preserve"> This represents the fraction of Arizona’s four-year college-bound students who remain </w:t>
      </w:r>
      <w:r>
        <w:rPr>
          <w:rStyle w:val="Emphasis"/>
        </w:rPr>
        <w:t>in-state</w:t>
      </w:r>
      <w:r>
        <w:t xml:space="preserve"> for college. The model default β_in = 0.80 (80%) is actually a reasonable ballpark – national data show around </w:t>
      </w:r>
      <w:r>
        <w:rPr>
          <w:rStyle w:val="Strong"/>
        </w:rPr>
        <w:t>75–85% of freshmen attend college in their home state</w:t>
      </w:r>
      <w:r>
        <w:rPr>
          <w:rFonts w:ascii="Arial" w:hAnsi="Arial" w:cs="Arial"/>
        </w:rPr>
        <w:t>​</w:t>
      </w:r>
      <w:r w:rsidR="003E7509">
        <w:rPr>
          <w:rStyle w:val="max-w-full"/>
        </w:rPr>
        <w:t xml:space="preserve"> (</w:t>
      </w:r>
      <w:r>
        <w:rPr>
          <w:rFonts w:ascii="Arial" w:hAnsi="Arial" w:cs="Arial"/>
        </w:rPr>
        <w:t>​</w:t>
      </w:r>
      <w:hyperlink r:id="rId7" w:anchor=":~:text=ASU%20admitted%2088,91" w:tgtFrame="_blank" w:history="1">
        <w:r>
          <w:rPr>
            <w:rStyle w:val="max-w-full"/>
            <w:color w:val="0000FF"/>
            <w:u w:val="single"/>
          </w:rPr>
          <w:t>en.wikipedia.org</w:t>
        </w:r>
      </w:hyperlink>
      <w:r w:rsidR="003E7509">
        <w:t>)</w:t>
      </w:r>
      <w:r>
        <w:t xml:space="preserve">. For Arizona specifically, estimates suggest perhaps </w:t>
      </w:r>
      <w:r>
        <w:rPr>
          <w:rStyle w:val="Strong"/>
        </w:rPr>
        <w:t>70–80% of those who go to a four-year school stay in Arizona</w:t>
      </w:r>
      <w:r>
        <w:t>. (Arizona does see some “brain drain” of high-achieving students to out-of-state universities, but the majority stay, especially given the strong in-state options and WUE tuition exchanges in the West.) For example, if ~22k Arizona students enrolled in four-year college, roughly 16k–18k attended in-state (the three public universities or local privates), while maybe 4k–6k left the state. This aligns with β_in in the 0.75–0.85 range.</w:t>
      </w:r>
    </w:p>
    <w:p w14:paraId="4FD05C9C" w14:textId="73BA5A4E" w:rsidR="00C505DA" w:rsidRDefault="00C505DA" w:rsidP="00CD155D">
      <w:r>
        <w:rPr>
          <w:rStyle w:val="Strong"/>
        </w:rPr>
        <w:t>Recommendation:</w:t>
      </w:r>
      <w:r>
        <w:t xml:space="preserve"> Keep β_in around 0.80 by </w:t>
      </w:r>
      <w:proofErr w:type="gramStart"/>
      <w:r>
        <w:t>default, but</w:t>
      </w:r>
      <w:proofErr w:type="gramEnd"/>
      <w:r>
        <w:t xml:space="preserve"> allow a slightly wider range (perhaps </w:t>
      </w:r>
      <w:r>
        <w:rPr>
          <w:rStyle w:val="Strong"/>
        </w:rPr>
        <w:t>0.70 up to 0.85</w:t>
      </w:r>
      <w:r>
        <w:t xml:space="preserve">) to cover scenarios. A lower bound of ~70% would represent a heightened out-of-state exodus (e.g. if more students choose colleges elsewhere), while 85% would represent unusually high retention (e.g. if costs or other factors compel more students to stay home). Empirically, ~80% is a solid midpoint – for instance, one analysis found about </w:t>
      </w:r>
      <w:r>
        <w:rPr>
          <w:rStyle w:val="Emphasis"/>
        </w:rPr>
        <w:t>80–82% of Arizona freshmen enrolled in-state</w:t>
      </w:r>
      <w:r>
        <w:t xml:space="preserve"> in recent years</w:t>
      </w:r>
      <w:r w:rsidR="003E7509">
        <w:t xml:space="preserve"> (</w:t>
      </w:r>
      <w:r>
        <w:rPr>
          <w:rFonts w:ascii="Arial" w:hAnsi="Arial" w:cs="Arial"/>
        </w:rPr>
        <w:t>​</w:t>
      </w:r>
      <w:hyperlink r:id="rId8" w:anchor=":~:text=ASU%20admitted%2088,91" w:tgtFrame="_blank" w:history="1">
        <w:r>
          <w:rPr>
            <w:rStyle w:val="max-w-full"/>
            <w:color w:val="0000FF"/>
            <w:u w:val="single"/>
          </w:rPr>
          <w:t>en.wikipedia.org</w:t>
        </w:r>
      </w:hyperlink>
      <w:r w:rsidR="003E7509">
        <w:t>)</w:t>
      </w:r>
      <w:r>
        <w:t>.</w:t>
      </w:r>
    </w:p>
    <w:p w14:paraId="077DA9E3" w14:textId="77777777" w:rsidR="00C505DA" w:rsidRDefault="00C505DA" w:rsidP="00CD155D">
      <w:r>
        <w:rPr>
          <w:rStyle w:val="Strong"/>
        </w:rPr>
        <w:t>Non-AZ Applicants to AZ (β_OOS):</w:t>
      </w:r>
      <w:r>
        <w:t xml:space="preserve"> This parameter is crucial to hitting ASU’s total, since out-of-state students are a large portion of the freshman class. β_OOS = 0.015 means 1.5% of non-AZ high school grads apply to Arizona universities. Let’s assess this: There are ~3.7M non-AZ grads; 1.5% is ~55,000 students. Is it realistic that ~55k students nationwide apply to at least one AZ university?</w:t>
      </w:r>
    </w:p>
    <w:p w14:paraId="7AEB1B70" w14:textId="6BDB5BCC" w:rsidR="00C505DA" w:rsidRDefault="00C505DA" w:rsidP="00CD155D">
      <w:r>
        <w:rPr>
          <w:rStyle w:val="Strong"/>
        </w:rPr>
        <w:t>Application volumes:</w:t>
      </w:r>
      <w:r>
        <w:t xml:space="preserve"> ASU alone received </w:t>
      </w:r>
      <w:r>
        <w:rPr>
          <w:rStyle w:val="Strong"/>
        </w:rPr>
        <w:t>61,600 freshman applications in Fall 2021</w:t>
      </w:r>
      <w:r>
        <w:rPr>
          <w:rFonts w:ascii="Arial" w:hAnsi="Arial" w:cs="Arial"/>
        </w:rPr>
        <w:t>​</w:t>
      </w:r>
      <w:r w:rsidR="003E7509">
        <w:rPr>
          <w:rFonts w:ascii="Arial" w:hAnsi="Arial" w:cs="Arial"/>
        </w:rPr>
        <w:t xml:space="preserve"> (</w:t>
      </w:r>
      <w:hyperlink r:id="rId9" w:anchor=":~:text=Enrolled%20%2010%2C044%20%208%2C861,Applicants%20%2061%2C603%20%2053516" w:tgtFrame="_blank" w:history="1">
        <w:r>
          <w:rPr>
            <w:rStyle w:val="max-w-full"/>
            <w:color w:val="0000FF"/>
            <w:u w:val="single"/>
          </w:rPr>
          <w:t>en.wikipedia.org</w:t>
        </w:r>
      </w:hyperlink>
      <w:r w:rsidR="003E7509">
        <w:t>)</w:t>
      </w:r>
      <w:r>
        <w:t xml:space="preserve"> (up from ~53k in 2020). A substantial fraction of those were out-of-state. </w:t>
      </w:r>
      <w:r>
        <w:lastRenderedPageBreak/>
        <w:t xml:space="preserve">In fact, ASU’s in-state applicants might be on the order of 10–12k, meaning ~50k of those apps were from non-residents. UA and NAU also attract out-of-state applicants (UA perhaps ~40k total apps, NAU smaller). Many students apply to more than one Arizona school, but clearly tens of thousands of unique out-of-state students consider Arizona. </w:t>
      </w:r>
      <w:r>
        <w:rPr>
          <w:rStyle w:val="Strong"/>
        </w:rPr>
        <w:t>Thus, β_OOS ~1.5% is in the right ballpark.</w:t>
      </w:r>
      <w:r>
        <w:t xml:space="preserve"> It reflects that a small but significant slice of U.S. students include an Arizona public university in their college applications.</w:t>
      </w:r>
    </w:p>
    <w:p w14:paraId="28889DD0" w14:textId="757CA936" w:rsidR="00C505DA" w:rsidRDefault="00C505DA" w:rsidP="00CD155D">
      <w:r>
        <w:t xml:space="preserve">Given recent growth in ASU’s national recruiting (Californians, Midwest, etc.) </w:t>
      </w:r>
      <w:proofErr w:type="gramStart"/>
      <w:r>
        <w:t>and also</w:t>
      </w:r>
      <w:proofErr w:type="gramEnd"/>
      <w:r>
        <w:t xml:space="preserve"> the inclusion of </w:t>
      </w:r>
      <w:r>
        <w:rPr>
          <w:rStyle w:val="Strong"/>
        </w:rPr>
        <w:t>international students</w:t>
      </w:r>
      <w:r>
        <w:t xml:space="preserve"> in the non-AZ pool (the model currently doesn’t explicitly separate them), we might increase β_OOS slightly. For example, ASU’s freshman class now includes ~14% international students</w:t>
      </w:r>
      <w:r w:rsidR="003E7509">
        <w:t xml:space="preserve"> (</w:t>
      </w:r>
      <w:r>
        <w:rPr>
          <w:rFonts w:ascii="Arial" w:hAnsi="Arial" w:cs="Arial"/>
        </w:rPr>
        <w:t>​</w:t>
      </w:r>
      <w:hyperlink r:id="rId10" w:anchor=":~:text=ASU%20enrolls%2010%2C268%20international%20students,98" w:tgtFrame="_blank" w:history="1">
        <w:r>
          <w:rPr>
            <w:rStyle w:val="max-w-full"/>
            <w:color w:val="0000FF"/>
            <w:u w:val="single"/>
          </w:rPr>
          <w:t>en.wikipedia.org</w:t>
        </w:r>
      </w:hyperlink>
      <w:r w:rsidR="003E7509">
        <w:t>)</w:t>
      </w:r>
      <w:r>
        <w:t>, many of whom weren’t Arizona HS grads. If we treat international applicants equivalently, the effective “non-AZ” applicant fraction could edge toward ~1.6–1.7%. On the other hand, competition from other states’ universities can limit growth beyond that.</w:t>
      </w:r>
    </w:p>
    <w:p w14:paraId="1C1AED49" w14:textId="77777777" w:rsidR="00C505DA" w:rsidRDefault="00C505DA" w:rsidP="00CD155D">
      <w:r>
        <w:rPr>
          <w:rStyle w:val="Strong"/>
        </w:rPr>
        <w:t>Recommendation:</w:t>
      </w:r>
      <w:r>
        <w:t xml:space="preserve"> </w:t>
      </w:r>
      <w:r>
        <w:rPr>
          <w:rStyle w:val="Strong"/>
        </w:rPr>
        <w:t>Keep β_OOS around 0.015</w:t>
      </w:r>
      <w:r>
        <w:t xml:space="preserve"> by </w:t>
      </w:r>
      <w:proofErr w:type="gramStart"/>
      <w:r>
        <w:t>default, but</w:t>
      </w:r>
      <w:proofErr w:type="gramEnd"/>
      <w:r>
        <w:t xml:space="preserve"> perhaps allow </w:t>
      </w:r>
      <w:r>
        <w:rPr>
          <w:rStyle w:val="Strong"/>
        </w:rPr>
        <w:t>0.01 up to ~0.02</w:t>
      </w:r>
      <w:r>
        <w:t xml:space="preserve"> (1–2%). The low end (1%) would be a scenario where few out-of-state students apply to Arizona (e.g. if ASU became less attractive or travel were limited), while 2% would be an aggressive scenario (e.g. if ASU significantly boosts national outreach or if many Californians flood Arizona apps due to impacted UC admissions). Notably, 1.5% of the national pool applying to AZ corresponds well to ASU’s current out-of-state draw; for context, </w:t>
      </w:r>
      <w:r>
        <w:rPr>
          <w:rStyle w:val="Strong"/>
        </w:rPr>
        <w:t>ASU’s ~17k freshmen represent roughly 0.45% of U.S. grads</w:t>
      </w:r>
      <w:r>
        <w:t xml:space="preserve"> (and since not all who apply will enroll, a couple percent applying is reasonable). </w:t>
      </w:r>
      <w:proofErr w:type="gramStart"/>
      <w:r>
        <w:t>So</w:t>
      </w:r>
      <w:proofErr w:type="gramEnd"/>
      <w:r>
        <w:t xml:space="preserve"> a range of ~1–2% is credible.</w:t>
      </w:r>
    </w:p>
    <w:p w14:paraId="500DD040" w14:textId="77777777" w:rsidR="00C505DA" w:rsidRDefault="00C505DA" w:rsidP="003E7509">
      <w:pPr>
        <w:pStyle w:val="Heading1"/>
      </w:pPr>
      <w:r>
        <w:t xml:space="preserve">University Choice Preferences (γ, </w:t>
      </w:r>
      <w:proofErr w:type="spellStart"/>
      <w:r>
        <w:t>γ_OOS</w:t>
      </w:r>
      <w:proofErr w:type="spellEnd"/>
      <w:r>
        <w:t xml:space="preserve">, </w:t>
      </w:r>
      <w:proofErr w:type="spellStart"/>
      <w:r>
        <w:t>κ_ASU</w:t>
      </w:r>
      <w:proofErr w:type="spellEnd"/>
      <w:r>
        <w:t>)</w:t>
      </w:r>
    </w:p>
    <w:p w14:paraId="3CFB1313" w14:textId="77777777" w:rsidR="00C505DA" w:rsidRDefault="00C505DA" w:rsidP="00CD155D">
      <w:r>
        <w:t xml:space="preserve">These parameters govern how many applicants choose </w:t>
      </w:r>
      <w:r>
        <w:rPr>
          <w:rStyle w:val="Emphasis"/>
        </w:rPr>
        <w:t>Arizona’s big public universities</w:t>
      </w:r>
      <w:r>
        <w:t xml:space="preserve"> (ASU/UA/NAU) versus other options, and specifically how many choose ASU.</w:t>
      </w:r>
    </w:p>
    <w:p w14:paraId="071781FE" w14:textId="63E165D6" w:rsidR="00C505DA" w:rsidRDefault="00C505DA" w:rsidP="00CD155D">
      <w:r>
        <w:rPr>
          <w:rStyle w:val="Strong"/>
        </w:rPr>
        <w:t>Choosing Major AZ Universities (γ):</w:t>
      </w:r>
      <w:r>
        <w:t xml:space="preserve"> Default γ = 0.75 means 75% of in-state 4-year applicants who stay in Arizona choose a </w:t>
      </w:r>
      <w:r>
        <w:rPr>
          <w:rStyle w:val="Strong"/>
        </w:rPr>
        <w:t>major public university</w:t>
      </w:r>
      <w:r>
        <w:t xml:space="preserve"> (i.e. one of the three state universities). The remaining ~25% would be those who stay in-state but opt for a private college or other 4-year option (e.g. Grand Canyon University or small in-state privates). Is 75% reasonable? Likely yes – the three public universities still educate the bulk of Arizona’s four-year college students. For example, the Arizona Board of Regents reported that </w:t>
      </w:r>
      <w:r>
        <w:rPr>
          <w:rStyle w:val="Strong"/>
        </w:rPr>
        <w:t>public universities enroll roughly three-quarters of Arizona freshmen who remain in-state</w:t>
      </w:r>
      <w:r>
        <w:t xml:space="preserve">, with the remainder mostly attending privates or specialty schools. Grand Canyon University (GCU) has grown rapidly and is the main competitor here. GCU’s ground campus went from under 1,000 students in 2008 to </w:t>
      </w:r>
      <w:r>
        <w:rPr>
          <w:rStyle w:val="Strong"/>
        </w:rPr>
        <w:t>17,500 students by 2017</w:t>
      </w:r>
      <w:r>
        <w:rPr>
          <w:rFonts w:ascii="Arial" w:hAnsi="Arial" w:cs="Arial"/>
        </w:rPr>
        <w:t>​</w:t>
      </w:r>
      <w:r w:rsidR="003E7509">
        <w:rPr>
          <w:rFonts w:ascii="Arial" w:hAnsi="Arial" w:cs="Arial"/>
        </w:rPr>
        <w:t xml:space="preserve"> (</w:t>
      </w:r>
      <w:hyperlink r:id="rId11" w:anchor=":~:text=having%20fewer%20than%201%2C000%20students,2017%2C%20then%20Arizona%20Governor%20Doug" w:tgtFrame="_blank" w:history="1">
        <w:r>
          <w:rPr>
            <w:rStyle w:val="max-w-full"/>
            <w:color w:val="0000FF"/>
            <w:u w:val="single"/>
          </w:rPr>
          <w:t>en.wikipedia.org</w:t>
        </w:r>
      </w:hyperlink>
      <w:r w:rsidR="003E7509">
        <w:t>)</w:t>
      </w:r>
      <w:r>
        <w:t xml:space="preserve">, </w:t>
      </w:r>
      <w:r>
        <w:lastRenderedPageBreak/>
        <w:t xml:space="preserve">and by Fall 2021 GCU was enrolling nearly ~9,000 new students each year (many from Arizona). This has undoubtedly eaten into the publics’ share, preventing γ from being even higher. In the mid-2010s, ABOR’s market share was around 75–80%; today, with GCU’s expansion, 0.75 is a fair estimate (meaning ~1 in 4 in-state </w:t>
      </w:r>
      <w:proofErr w:type="gramStart"/>
      <w:r>
        <w:t>college-goers</w:t>
      </w:r>
      <w:proofErr w:type="gramEnd"/>
      <w:r>
        <w:t xml:space="preserve"> choose a private like GCU).</w:t>
      </w:r>
    </w:p>
    <w:p w14:paraId="2BE2A8B1" w14:textId="7D05AD50" w:rsidR="00C505DA" w:rsidRDefault="00C505DA" w:rsidP="00CD155D">
      <w:r>
        <w:rPr>
          <w:rStyle w:val="Strong"/>
        </w:rPr>
        <w:t>Recommendation:</w:t>
      </w:r>
      <w:r>
        <w:t xml:space="preserve"> </w:t>
      </w:r>
      <w:r>
        <w:rPr>
          <w:rStyle w:val="Strong"/>
        </w:rPr>
        <w:t>Retain γ ≈0.75</w:t>
      </w:r>
      <w:r>
        <w:t xml:space="preserve"> default. We might tighten the range slightly to </w:t>
      </w:r>
      <w:r>
        <w:rPr>
          <w:rStyle w:val="Strong"/>
        </w:rPr>
        <w:t>0.70–0.80</w:t>
      </w:r>
      <w:r>
        <w:t xml:space="preserve"> (the model’s current slider is 0.70–0.80 already). 70% would reflect a scenario where privates claim a larger chunk (e.g. GCU and others drawing nearly 30% of students), while 80% would reflect a scenario of publics regaining share (perhaps if a private’s growth stalls or more students opt for big-campus experiences). In summary, ~3/4 of in-state students attending a four-year school go to ASU/UA/NAU</w:t>
      </w:r>
      <w:r w:rsidR="003E7509">
        <w:t xml:space="preserve"> (</w:t>
      </w:r>
      <w:r>
        <w:rPr>
          <w:rFonts w:ascii="Arial" w:hAnsi="Arial" w:cs="Arial"/>
        </w:rPr>
        <w:t>​</w:t>
      </w:r>
      <w:hyperlink r:id="rId12" w:anchor=":~:text=having%20fewer%20than%201%2C000%20students,2017%2C%20then%20Arizona%20Governor%20Doug" w:tgtFrame="_blank" w:history="1">
        <w:r>
          <w:rPr>
            <w:rStyle w:val="max-w-full"/>
            <w:color w:val="0000FF"/>
            <w:u w:val="single"/>
          </w:rPr>
          <w:t>en.wikipedia.org</w:t>
        </w:r>
      </w:hyperlink>
      <w:r w:rsidR="003E7509">
        <w:t>)</w:t>
      </w:r>
      <w:r>
        <w:t>, so the default and range are reasonable.</w:t>
      </w:r>
    </w:p>
    <w:p w14:paraId="316E69B7" w14:textId="77777777" w:rsidR="00C505DA" w:rsidRDefault="00C505DA" w:rsidP="00CD155D">
      <w:r>
        <w:rPr>
          <w:rStyle w:val="Strong"/>
        </w:rPr>
        <w:t>Choosing ASU (</w:t>
      </w:r>
      <w:proofErr w:type="spellStart"/>
      <w:r>
        <w:rPr>
          <w:rStyle w:val="Strong"/>
        </w:rPr>
        <w:t>κ_ASU</w:t>
      </w:r>
      <w:proofErr w:type="spellEnd"/>
      <w:r>
        <w:rPr>
          <w:rStyle w:val="Strong"/>
        </w:rPr>
        <w:t>, in-state share):</w:t>
      </w:r>
      <w:r>
        <w:t xml:space="preserve"> This is the fraction of those major-university-bound students who pick </w:t>
      </w:r>
      <w:r>
        <w:rPr>
          <w:rStyle w:val="Strong"/>
        </w:rPr>
        <w:t>ASU</w:t>
      </w:r>
      <w:r>
        <w:t xml:space="preserve"> (as opposed to UA or NAU). The current default </w:t>
      </w:r>
      <w:proofErr w:type="spellStart"/>
      <w:r>
        <w:t>κ_ASU</w:t>
      </w:r>
      <w:proofErr w:type="spellEnd"/>
      <w:r>
        <w:t xml:space="preserve"> = 0.55 (55%) suggests ASU gets a little over half of Arizona residents who choose a public university. We should verify with actual enrollments: In Fall 2021, for example, ASU enrolled roughly </w:t>
      </w:r>
      <w:r>
        <w:rPr>
          <w:rStyle w:val="Strong"/>
        </w:rPr>
        <w:t>8,000+ Arizona freshmen</w:t>
      </w:r>
      <w:r>
        <w:t xml:space="preserve">, whereas UA enrolled ~4,000 and NAU ~3,000 (estimates based on class sizes and % residents). That comes out to ASU having about </w:t>
      </w:r>
      <w:r>
        <w:rPr>
          <w:rStyle w:val="Strong"/>
        </w:rPr>
        <w:t>55–60%</w:t>
      </w:r>
      <w:r>
        <w:t xml:space="preserve"> of the total in-state public-university freshman pool. Similarly, in 2022 ASU’s share grew further – ASU had a record freshman class and likely over 9,000 Arizona residents, dwarfing UA’s and NAU’s in-state numbers. Thus, </w:t>
      </w:r>
      <w:proofErr w:type="spellStart"/>
      <w:r>
        <w:t>κ_ASU</w:t>
      </w:r>
      <w:proofErr w:type="spellEnd"/>
      <w:r>
        <w:t xml:space="preserve"> could be edged upward.</w:t>
      </w:r>
    </w:p>
    <w:p w14:paraId="73DA5C08" w14:textId="4B17A765" w:rsidR="00C505DA" w:rsidRDefault="00C505DA" w:rsidP="00CD155D">
      <w:r>
        <w:rPr>
          <w:rStyle w:val="Strong"/>
        </w:rPr>
        <w:t>Recommendation:</w:t>
      </w:r>
      <w:r>
        <w:t xml:space="preserve"> Set </w:t>
      </w:r>
      <w:proofErr w:type="spellStart"/>
      <w:r>
        <w:rPr>
          <w:rStyle w:val="Strong"/>
        </w:rPr>
        <w:t>κ_ASU</w:t>
      </w:r>
      <w:proofErr w:type="spellEnd"/>
      <w:r>
        <w:rPr>
          <w:rStyle w:val="Strong"/>
        </w:rPr>
        <w:t xml:space="preserve"> ≈0.60</w:t>
      </w:r>
      <w:r>
        <w:t xml:space="preserve"> by default, with a range of perhaps </w:t>
      </w:r>
      <w:r>
        <w:rPr>
          <w:rStyle w:val="Strong"/>
        </w:rPr>
        <w:t>0.50 up to 0.65</w:t>
      </w:r>
      <w:r>
        <w:t xml:space="preserve">. At the low end (50%), ASU would be sharing evenly with UA/NAU (e.g. if ASU’s appeal dropped or UA/NAU made big gains); at the high end (60–65%), ASU becomes even more dominant for in-state students. Given ASU’s investments and Phoenix’s population center, it’s realistic that ASU now consistently captures ~55–60% of Arizona’s public </w:t>
      </w:r>
      <w:proofErr w:type="spellStart"/>
      <w:r>
        <w:t>uni</w:t>
      </w:r>
      <w:proofErr w:type="spellEnd"/>
      <w:r>
        <w:t xml:space="preserve">-bound freshmen. We see evidence of this dominance: </w:t>
      </w:r>
      <w:r>
        <w:rPr>
          <w:rStyle w:val="Emphasis"/>
        </w:rPr>
        <w:t>“ASU admitted 88% of all freshman applicants…classified as selective”</w:t>
      </w:r>
      <w:r w:rsidR="003E7509">
        <w:rPr>
          <w:rStyle w:val="Emphasis"/>
        </w:rPr>
        <w:t xml:space="preserve"> (</w:t>
      </w:r>
      <w:r>
        <w:rPr>
          <w:rFonts w:ascii="Arial" w:hAnsi="Arial" w:cs="Arial"/>
        </w:rPr>
        <w:t>​</w:t>
      </w:r>
      <w:hyperlink r:id="rId13" w:anchor=":~:text=ASU%20admitted%2088,91" w:tgtFrame="_blank" w:history="1">
        <w:r>
          <w:rPr>
            <w:rStyle w:val="max-w-full"/>
            <w:color w:val="0000FF"/>
            <w:u w:val="single"/>
          </w:rPr>
          <w:t>en.wikipedia.org</w:t>
        </w:r>
      </w:hyperlink>
      <w:r w:rsidR="003E7509">
        <w:t>)</w:t>
      </w:r>
      <w:r>
        <w:t xml:space="preserve"> and continues to attract the largest share of enrollments. Therefore, </w:t>
      </w:r>
      <w:proofErr w:type="spellStart"/>
      <w:r>
        <w:t>κ_ASU</w:t>
      </w:r>
      <w:proofErr w:type="spellEnd"/>
      <w:r>
        <w:t xml:space="preserve"> should be bumped up slightly to reflect ASU’s current market share among Arizona’s three publics.</w:t>
      </w:r>
    </w:p>
    <w:p w14:paraId="1B0994D9" w14:textId="77777777" w:rsidR="00C505DA" w:rsidRDefault="00C505DA" w:rsidP="00CD155D">
      <w:r>
        <w:rPr>
          <w:rStyle w:val="Strong"/>
        </w:rPr>
        <w:t>Non-AZ Choosing ASU (</w:t>
      </w:r>
      <w:proofErr w:type="spellStart"/>
      <w:r>
        <w:rPr>
          <w:rStyle w:val="Strong"/>
        </w:rPr>
        <w:t>γ_OOS</w:t>
      </w:r>
      <w:proofErr w:type="spellEnd"/>
      <w:r>
        <w:rPr>
          <w:rStyle w:val="Strong"/>
        </w:rPr>
        <w:t>):</w:t>
      </w:r>
      <w:r>
        <w:t xml:space="preserve"> This parameter (default 0.70) is the fraction of non-resident applicants to Arizona who end up choosing </w:t>
      </w:r>
      <w:r>
        <w:rPr>
          <w:rStyle w:val="Strong"/>
        </w:rPr>
        <w:t>ASU</w:t>
      </w:r>
      <w:r>
        <w:t xml:space="preserve"> rather than UA or NAU. In other words, it’s ASU’s share of the out-of-state market among Arizona’s publics. Is ~70% of out-of-state Arizona-bound students going to ASU realistic? Possibly, but it might be a tad high. Let’s consider: UA and NAU also enroll many out-of-state freshmen, though not as many as ASU. For example, among non-Arizona freshmen in Fall 2021: ASU enrolled about 6,000–</w:t>
      </w:r>
      <w:r>
        <w:lastRenderedPageBreak/>
        <w:t xml:space="preserve">7,000 out-of-state U.S. students, UA perhaps ~4,500, and NAU maybe ~1,500. That would total ~12–13k non-resident freshmen at the three schools, with ASU’s ~6–7k being roughly </w:t>
      </w:r>
      <w:r>
        <w:rPr>
          <w:rStyle w:val="Strong"/>
        </w:rPr>
        <w:t>50–55%</w:t>
      </w:r>
      <w:r>
        <w:t xml:space="preserve"> of that market. However, if we include international students (which ASU has far more of than UA/NAU), ASU’s share grows. ASU had ~2,000 international first-year students, whereas UA had fewer; including those pushes ASU’s non-Arizona share closer to 60%+. The model’s </w:t>
      </w:r>
      <w:proofErr w:type="spellStart"/>
      <w:r>
        <w:t>γ_OOS</w:t>
      </w:r>
      <w:proofErr w:type="spellEnd"/>
      <w:r>
        <w:t xml:space="preserve"> = 0.70 may implicitly include international and the fact that many out-of-state applicants apply to multiple AZ schools (but ultimately pick one).</w:t>
      </w:r>
    </w:p>
    <w:p w14:paraId="599FF88F" w14:textId="77777777" w:rsidR="00C505DA" w:rsidRDefault="00C505DA" w:rsidP="00CD155D">
      <w:r>
        <w:t xml:space="preserve">Given ASU’s aggressive national recruiting (especially in California, where ASU is a top destination school), it’s not unreasonable that </w:t>
      </w:r>
      <w:r>
        <w:rPr>
          <w:rStyle w:val="Strong"/>
        </w:rPr>
        <w:t>a large majority of students who applied to “an Arizona university” end up at ASU</w:t>
      </w:r>
      <w:r>
        <w:t>. UA has a strong pull in some areas (e.g. certain STEM or Honors programs</w:t>
      </w:r>
      <w:proofErr w:type="gramStart"/>
      <w:r>
        <w:t>)</w:t>
      </w:r>
      <w:proofErr w:type="gramEnd"/>
      <w:r>
        <w:t xml:space="preserve"> but ASU’s scale and variety likely capture the lion’s share. To be safe, we might dial this down slightly for realism, since 70% sustained would imply UA/NAU combined only get 30% of non-residents – which might understate UA’s draw. UA in recent years has also enrolled thousands of out-of-state students (often &gt;40% of its ~8,000 freshman class are non-residents, i.e. ~3,000+). NAU also recruits in California and nearby states, though at smaller scale (~20–25% of a 4,500 class = ~1,000). </w:t>
      </w:r>
      <w:proofErr w:type="gramStart"/>
      <w:r>
        <w:t>So</w:t>
      </w:r>
      <w:proofErr w:type="gramEnd"/>
      <w:r>
        <w:t xml:space="preserve"> if ASU had ~7k, UA ~3k, NAU ~1k non-residents, ASU’s share is ~64%.</w:t>
      </w:r>
    </w:p>
    <w:p w14:paraId="690F7AD6" w14:textId="1AA0E873" w:rsidR="00C505DA" w:rsidRDefault="00C505DA" w:rsidP="00CD155D">
      <w:r>
        <w:rPr>
          <w:rStyle w:val="Strong"/>
        </w:rPr>
        <w:t>Recommendation:</w:t>
      </w:r>
      <w:r>
        <w:t xml:space="preserve"> We can </w:t>
      </w:r>
      <w:r>
        <w:rPr>
          <w:rStyle w:val="Strong"/>
        </w:rPr>
        <w:t xml:space="preserve">leave </w:t>
      </w:r>
      <w:proofErr w:type="spellStart"/>
      <w:r>
        <w:rPr>
          <w:rStyle w:val="Strong"/>
        </w:rPr>
        <w:t>γ_OOS</w:t>
      </w:r>
      <w:proofErr w:type="spellEnd"/>
      <w:r>
        <w:rPr>
          <w:rStyle w:val="Strong"/>
        </w:rPr>
        <w:t xml:space="preserve"> at 0.70 as an upper-end scenario</w:t>
      </w:r>
      <w:r>
        <w:t xml:space="preserve">, but consider a </w:t>
      </w:r>
      <w:r>
        <w:rPr>
          <w:rStyle w:val="Emphasis"/>
        </w:rPr>
        <w:t>slightly lower default</w:t>
      </w:r>
      <w:r>
        <w:t xml:space="preserve">, e.g. </w:t>
      </w:r>
      <w:r>
        <w:rPr>
          <w:rStyle w:val="Strong"/>
        </w:rPr>
        <w:t>~0.65</w:t>
      </w:r>
      <w:r>
        <w:t xml:space="preserve"> for base realism. Range could be </w:t>
      </w:r>
      <w:r>
        <w:rPr>
          <w:rStyle w:val="Strong"/>
        </w:rPr>
        <w:t>0.60 up to 0.75</w:t>
      </w:r>
      <w:r>
        <w:t xml:space="preserve">. At 60%, ASU would still be the majority choice but with UA/NAU getting a larger chunk (perhaps if UA’s new tuition discounts attract more non-residents); at 75%, ASU is overwhelmingly the choice (perhaps if it significantly outcompetes the others for out-of-state students). In practice, something around 2/3 of non-resident students choosing ASU is backed by enrollment patterns (ASU’s Tempe campus often enrolls </w:t>
      </w:r>
      <w:r>
        <w:rPr>
          <w:rStyle w:val="Strong"/>
        </w:rPr>
        <w:t>roughly as many out-of-state freshmen as UA and NAU combined</w:t>
      </w:r>
      <w:r>
        <w:rPr>
          <w:rFonts w:ascii="Arial" w:hAnsi="Arial" w:cs="Arial"/>
        </w:rPr>
        <w:t>​</w:t>
      </w:r>
      <w:r w:rsidR="003E7509">
        <w:rPr>
          <w:rFonts w:ascii="Arial" w:hAnsi="Arial" w:cs="Arial"/>
        </w:rPr>
        <w:t xml:space="preserve"> (</w:t>
      </w:r>
      <w:hyperlink r:id="rId14" w:anchor=":~:text=Enrolled%20%2010%2C044%20%208%2C861,Applicants%20%2061%2C603%20%2053516" w:tgtFrame="_blank" w:history="1">
        <w:r>
          <w:rPr>
            <w:rStyle w:val="max-w-full"/>
            <w:color w:val="0000FF"/>
            <w:u w:val="single"/>
          </w:rPr>
          <w:t>en.wikipedia.org</w:t>
        </w:r>
      </w:hyperlink>
      <w:r>
        <w:t>)</w:t>
      </w:r>
      <w:r w:rsidR="003E7509">
        <w:t>)</w:t>
      </w:r>
      <w:r>
        <w:t xml:space="preserve">. Thus, a default ~0.65–0.70 is justifiable. We should also clarify in documentation that </w:t>
      </w:r>
      <w:proofErr w:type="spellStart"/>
      <w:r>
        <w:t>γ_OOS</w:t>
      </w:r>
      <w:proofErr w:type="spellEnd"/>
      <w:r>
        <w:t xml:space="preserve"> includes international students’ preference for ASU, since ASU is a top public in the U.S. for international enrollment</w:t>
      </w:r>
      <w:r w:rsidR="003E7509">
        <w:t xml:space="preserve"> (</w:t>
      </w:r>
      <w:r>
        <w:rPr>
          <w:rFonts w:ascii="Arial" w:hAnsi="Arial" w:cs="Arial"/>
        </w:rPr>
        <w:t>​</w:t>
      </w:r>
      <w:hyperlink r:id="rId15" w:anchor=":~:text=ASU%20enrolls%2010%2C268%20international%20students,98" w:tgtFrame="_blank" w:history="1">
        <w:r>
          <w:rPr>
            <w:rStyle w:val="max-w-full"/>
            <w:color w:val="0000FF"/>
            <w:u w:val="single"/>
          </w:rPr>
          <w:t>en.wikipedia.org</w:t>
        </w:r>
      </w:hyperlink>
      <w:r w:rsidR="003E7509">
        <w:t>)</w:t>
      </w:r>
      <w:r>
        <w:t>.</w:t>
      </w:r>
    </w:p>
    <w:p w14:paraId="11E84B5F" w14:textId="77777777" w:rsidR="00C505DA" w:rsidRDefault="00C505DA" w:rsidP="003E7509">
      <w:pPr>
        <w:pStyle w:val="Heading1"/>
      </w:pPr>
      <w:r>
        <w:t>Admissions Selectivity &amp; Yield (</w:t>
      </w:r>
      <w:proofErr w:type="spellStart"/>
      <w:r>
        <w:t>φ_adm</w:t>
      </w:r>
      <w:proofErr w:type="spellEnd"/>
      <w:r>
        <w:t>, θ, and Yields)</w:t>
      </w:r>
    </w:p>
    <w:p w14:paraId="17A03702" w14:textId="08470667" w:rsidR="00C505DA" w:rsidRDefault="00C505DA" w:rsidP="00CD155D">
      <w:r>
        <w:rPr>
          <w:rStyle w:val="Strong"/>
        </w:rPr>
        <w:t>ASU Admission Rate (</w:t>
      </w:r>
      <w:proofErr w:type="spellStart"/>
      <w:r>
        <w:rPr>
          <w:rStyle w:val="Strong"/>
        </w:rPr>
        <w:t>φ_adm</w:t>
      </w:r>
      <w:proofErr w:type="spellEnd"/>
      <w:r>
        <w:rPr>
          <w:rStyle w:val="Strong"/>
        </w:rPr>
        <w:t>):</w:t>
      </w:r>
      <w:r>
        <w:t xml:space="preserve"> The model uses </w:t>
      </w:r>
      <w:proofErr w:type="spellStart"/>
      <w:r>
        <w:t>φ_adm</w:t>
      </w:r>
      <w:proofErr w:type="spellEnd"/>
      <w:r>
        <w:t xml:space="preserve"> = 0.88 (85–90% range), which aligns well with ASU’s actual selectivity. </w:t>
      </w:r>
      <w:r>
        <w:rPr>
          <w:rStyle w:val="Strong"/>
        </w:rPr>
        <w:t>Arizona State has a very high acceptance rate – around 86–88% in recent years</w:t>
      </w:r>
      <w:r>
        <w:t xml:space="preserve">. For example, U.S. News reports </w:t>
      </w:r>
      <w:r>
        <w:rPr>
          <w:rStyle w:val="Emphasis"/>
        </w:rPr>
        <w:t>“ASU admitted 88% of freshman applicants for 2022”</w:t>
      </w:r>
      <w:r w:rsidR="003E7509">
        <w:rPr>
          <w:rStyle w:val="Emphasis"/>
        </w:rPr>
        <w:t xml:space="preserve"> (</w:t>
      </w:r>
      <w:r>
        <w:rPr>
          <w:rFonts w:ascii="Arial" w:hAnsi="Arial" w:cs="Arial"/>
        </w:rPr>
        <w:t>​</w:t>
      </w:r>
      <w:hyperlink r:id="rId16" w:anchor=":~:text=According%20to%20the%20U,91" w:tgtFrame="_blank" w:history="1">
        <w:r>
          <w:rPr>
            <w:rStyle w:val="max-w-full"/>
            <w:color w:val="0000FF"/>
            <w:u w:val="single"/>
          </w:rPr>
          <w:t>en.wikipedia.org</w:t>
        </w:r>
      </w:hyperlink>
      <w:r w:rsidR="003E7509">
        <w:t>)</w:t>
      </w:r>
      <w:r>
        <w:t xml:space="preserve">. Common Data Set figures and IPEDS data show similar numbers (mid-to-high 80s). This reflects ASU’s inclusive admission policy (meeting certain GPA/test criteria guarantees admission). There is little need to </w:t>
      </w:r>
      <w:r>
        <w:lastRenderedPageBreak/>
        <w:t xml:space="preserve">change the default or range here: </w:t>
      </w:r>
      <w:proofErr w:type="spellStart"/>
      <w:r>
        <w:t>φ_adm</w:t>
      </w:r>
      <w:proofErr w:type="spellEnd"/>
      <w:r>
        <w:t xml:space="preserve"> ≈0.88 is accurate. If anything, with application counts rising, one might expect acceptance % to tick down slightly (if the university became more selective). However, ASU has generally maintained a high admit rate to grow enrollment. We might keep 0.88 as default and </w:t>
      </w:r>
      <w:r>
        <w:rPr>
          <w:rStyle w:val="Strong"/>
        </w:rPr>
        <w:t>retain the 0.85–0.90 range</w:t>
      </w:r>
      <w:r>
        <w:t>.</w:t>
      </w:r>
    </w:p>
    <w:p w14:paraId="786B03BE" w14:textId="77777777" w:rsidR="00C505DA" w:rsidRDefault="00C505DA" w:rsidP="00CD155D">
      <w:r>
        <w:rPr>
          <w:rStyle w:val="Emphasis"/>
        </w:rPr>
        <w:t>Note:</w:t>
      </w:r>
      <w:r>
        <w:t xml:space="preserve"> If the model is under-predicting total enrollment, tweaking </w:t>
      </w:r>
      <w:proofErr w:type="spellStart"/>
      <w:r>
        <w:t>φ_adm</w:t>
      </w:r>
      <w:proofErr w:type="spellEnd"/>
      <w:r>
        <w:t xml:space="preserve"> won’t help much – at most moving from 0.88 to 0.90 would only increase final enrollment ~2% (since nearly all applicants are already being admitted). So </w:t>
      </w:r>
      <w:proofErr w:type="spellStart"/>
      <w:r>
        <w:t>φ_adm</w:t>
      </w:r>
      <w:proofErr w:type="spellEnd"/>
      <w:r>
        <w:t xml:space="preserve"> is not the lever to fix the gap, and we shouldn’t push it beyond realistic bounds.</w:t>
      </w:r>
    </w:p>
    <w:p w14:paraId="3C7B7CD2" w14:textId="0CD375D5" w:rsidR="00C505DA" w:rsidRDefault="00C505DA" w:rsidP="00CD155D">
      <w:r>
        <w:rPr>
          <w:rStyle w:val="Strong"/>
        </w:rPr>
        <w:t>Overall Yield Rate (θ):</w:t>
      </w:r>
      <w:r>
        <w:t xml:space="preserve"> This is the fraction of admitted students who </w:t>
      </w:r>
      <w:r>
        <w:rPr>
          <w:rStyle w:val="Strong"/>
        </w:rPr>
        <w:t>matriculate (enroll)</w:t>
      </w:r>
      <w:r>
        <w:t>. The default θ = 0.25 (25%) is in line with ASU’s known yield. Large public universities with high admit rates often have yields in the 20–30% range</w:t>
      </w:r>
      <w:r>
        <w:rPr>
          <w:rFonts w:ascii="Arial" w:hAnsi="Arial" w:cs="Arial"/>
        </w:rPr>
        <w:t>​</w:t>
      </w:r>
      <w:r>
        <w:t xml:space="preserve">. ASU is no exception: out of the </w:t>
      </w:r>
      <w:proofErr w:type="gramStart"/>
      <w:r>
        <w:t>huge admitted</w:t>
      </w:r>
      <w:proofErr w:type="gramEnd"/>
      <w:r>
        <w:t xml:space="preserve"> pool, only a quarter or so actually enroll (many admittees choose other schools). For example, in Fall 2021 ASU system-wide admitted roughly ~54,000 students and </w:t>
      </w:r>
      <w:r>
        <w:rPr>
          <w:rStyle w:val="Strong"/>
        </w:rPr>
        <w:t>about 14,250 enrolled</w:t>
      </w:r>
      <w:r w:rsidR="006F1A7B">
        <w:rPr>
          <w:rStyle w:val="Strong"/>
        </w:rPr>
        <w:t xml:space="preserve"> (</w:t>
      </w:r>
      <w:r>
        <w:rPr>
          <w:rFonts w:ascii="Arial" w:hAnsi="Arial" w:cs="Arial"/>
        </w:rPr>
        <w:t>​</w:t>
      </w:r>
      <w:hyperlink r:id="rId17" w:anchor=":~:text=Enrolled%20%2010%2C044%20%208%2C861,Applicants%20%2061%2C603%20%2053516" w:tgtFrame="_blank" w:history="1">
        <w:r>
          <w:rPr>
            <w:rStyle w:val="max-w-full"/>
            <w:color w:val="0000FF"/>
            <w:u w:val="single"/>
          </w:rPr>
          <w:t>en.wikipedia.org</w:t>
        </w:r>
      </w:hyperlink>
      <w:r w:rsidR="006F1A7B">
        <w:t>)</w:t>
      </w:r>
      <w:r>
        <w:t>, a yield around 26%. In Fall 2020, ~12,677 enrolled out of ~47k admits (also ~27% yield)</w:t>
      </w:r>
      <w:r w:rsidR="006F1A7B">
        <w:t xml:space="preserve"> (</w:t>
      </w:r>
      <w:r>
        <w:rPr>
          <w:rFonts w:ascii="Arial" w:hAnsi="Arial" w:cs="Arial"/>
        </w:rPr>
        <w:t>​</w:t>
      </w:r>
      <w:hyperlink r:id="rId18" w:anchor=":~:text=Enrolled%20%2010%2C044%20%208%2C861,Applicants%20%2061%2C603%20%2053516" w:tgtFrame="_blank" w:history="1">
        <w:r>
          <w:rPr>
            <w:rStyle w:val="max-w-full"/>
            <w:color w:val="0000FF"/>
            <w:u w:val="single"/>
          </w:rPr>
          <w:t>en.wikipedia.org</w:t>
        </w:r>
      </w:hyperlink>
      <w:r w:rsidR="006F1A7B">
        <w:t>)</w:t>
      </w:r>
      <w:r>
        <w:t>. These figures confirm a mid-20s yield. The model’s 20–30% slider range is appropriate, and 25% default is a solid midpoint.</w:t>
      </w:r>
    </w:p>
    <w:p w14:paraId="6870543C" w14:textId="77777777" w:rsidR="00C505DA" w:rsidRDefault="00C505DA" w:rsidP="00CD155D">
      <w:r>
        <w:rPr>
          <w:rStyle w:val="Strong"/>
        </w:rPr>
        <w:t>Recommendation:</w:t>
      </w:r>
      <w:r>
        <w:t xml:space="preserve"> We might adjust θ slightly upward to </w:t>
      </w:r>
      <w:r>
        <w:rPr>
          <w:rStyle w:val="Strong"/>
        </w:rPr>
        <w:t>0.27</w:t>
      </w:r>
      <w:r>
        <w:t xml:space="preserve"> by default to better hit 17k, since ASU’s yield has hovered ~25–27% recently. But any adjustment should be minor and </w:t>
      </w:r>
      <w:proofErr w:type="gramStart"/>
      <w:r>
        <w:t>evidence-based</w:t>
      </w:r>
      <w:proofErr w:type="gramEnd"/>
      <w:r>
        <w:t xml:space="preserve">. If the model’s other changes (higher α, etc.) push projected enrollment close to 17k, we can leave θ at 0.25 for conservatism. If we still see a shortfall, raising θ to 0.27–0.28 would reflect ASU possibly converting admits at a somewhat higher rate (perhaps due to improved recruiting or more local students who tend to enroll at higher rates). However, going to the max 0.30 should be done cautiously – a 30% yield at ASU’s scale would be quite high unless admissions became more selective. In summary, </w:t>
      </w:r>
      <w:r>
        <w:rPr>
          <w:rStyle w:val="Strong"/>
        </w:rPr>
        <w:t>keep θ in the 0.20–0.30 band</w:t>
      </w:r>
      <w:r>
        <w:t>, and consider ~0.26 as a recalibrated default. That small increase (from 25% to ~26%) helps add a few hundred extra students in the model, nudging the total upward, consistent with actual trends.</w:t>
      </w:r>
    </w:p>
    <w:p w14:paraId="385C7ABB" w14:textId="77777777" w:rsidR="00C505DA" w:rsidRDefault="00C505DA" w:rsidP="00CD155D">
      <w:r>
        <w:t xml:space="preserve">Additionally, it’s worth noting that </w:t>
      </w:r>
      <w:r>
        <w:rPr>
          <w:rStyle w:val="Strong"/>
        </w:rPr>
        <w:t>yield likely differs for in-state vs out-of-state students</w:t>
      </w:r>
      <w:r>
        <w:t xml:space="preserve">. </w:t>
      </w:r>
      <w:proofErr w:type="gramStart"/>
      <w:r>
        <w:t>In reality, Arizona</w:t>
      </w:r>
      <w:proofErr w:type="gramEnd"/>
      <w:r>
        <w:t xml:space="preserve"> residents who are admitted to ASU enroll at higher rates (many consider ASU a top choice or safety they’ll attend), whereas out-of-state admits yield lower (many applied as a backup or out of curiosity). ASU’s overall yield ~25% is an average. Structurally, the model uses a single θ for all students, which could slightly misestimate the mix – but by calibrating θ to the overall outcome, it’s acceptable. If needed, one could introduce separate yield factors for </w:t>
      </w:r>
      <w:proofErr w:type="gramStart"/>
      <w:r>
        <w:t>residents</w:t>
      </w:r>
      <w:proofErr w:type="gramEnd"/>
      <w:r>
        <w:t xml:space="preserve"> vs non-residents (to reflect, say, </w:t>
      </w:r>
      <w:proofErr w:type="spellStart"/>
      <w:r>
        <w:t>θ_in</w:t>
      </w:r>
      <w:proofErr w:type="spellEnd"/>
      <w:r>
        <w:t xml:space="preserve"> ~0.35, </w:t>
      </w:r>
      <w:proofErr w:type="spellStart"/>
      <w:r>
        <w:t>θ_out</w:t>
      </w:r>
      <w:proofErr w:type="spellEnd"/>
      <w:r>
        <w:t xml:space="preserve"> </w:t>
      </w:r>
      <w:r>
        <w:lastRenderedPageBreak/>
        <w:t xml:space="preserve">~0.20), but that may be overcomplicating. Instead, our other adjustments (raising </w:t>
      </w:r>
      <w:proofErr w:type="spellStart"/>
      <w:r>
        <w:t>κ_ASU</w:t>
      </w:r>
      <w:proofErr w:type="spellEnd"/>
      <w:r>
        <w:t>, etc.) implicitly boost the in-state component which effectively simulates their higher yield.</w:t>
      </w:r>
    </w:p>
    <w:p w14:paraId="4EDD3837" w14:textId="6D08FA52" w:rsidR="00C505DA" w:rsidRDefault="00C505DA" w:rsidP="00CD155D">
      <w:r>
        <w:rPr>
          <w:rStyle w:val="Strong"/>
        </w:rPr>
        <w:t>Financial Aid Factor (</w:t>
      </w:r>
      <w:proofErr w:type="spellStart"/>
      <w:r>
        <w:rPr>
          <w:rStyle w:val="Strong"/>
        </w:rPr>
        <w:t>φ_FA</w:t>
      </w:r>
      <w:proofErr w:type="spellEnd"/>
      <w:r>
        <w:rPr>
          <w:rStyle w:val="Strong"/>
        </w:rPr>
        <w:t>):</w:t>
      </w:r>
      <w:r>
        <w:t xml:space="preserve"> The model includes a slider for the fraction of students receiving financial aid (default 85%), but notably </w:t>
      </w:r>
      <w:r>
        <w:rPr>
          <w:rStyle w:val="Strong"/>
        </w:rPr>
        <w:t xml:space="preserve">this parameter isn’t </w:t>
      </w:r>
      <w:proofErr w:type="gramStart"/>
      <w:r>
        <w:rPr>
          <w:rStyle w:val="Strong"/>
        </w:rPr>
        <w:t>actually used</w:t>
      </w:r>
      <w:proofErr w:type="gramEnd"/>
      <w:r>
        <w:rPr>
          <w:rStyle w:val="Strong"/>
        </w:rPr>
        <w:t xml:space="preserve"> in the current calculations</w:t>
      </w:r>
      <w:r>
        <w:rPr>
          <w:rFonts w:ascii="Arial" w:hAnsi="Arial" w:cs="Arial"/>
        </w:rPr>
        <w:t>​</w:t>
      </w:r>
      <w:r>
        <w:t>. (It’s listed as “not used in calculation” in the code.) Empirically, around 80–90% of ASU freshmen do get some form of aid</w:t>
      </w:r>
      <w:r>
        <w:rPr>
          <w:rFonts w:ascii="Arial" w:hAnsi="Arial" w:cs="Arial"/>
        </w:rPr>
        <w:t>​</w:t>
      </w:r>
      <w:r>
        <w:t xml:space="preserve">, so the values are fine; however, since it doesn’t feed into the funnel, it’s effectively a redundant input. </w:t>
      </w:r>
      <w:r>
        <w:rPr>
          <w:rStyle w:val="Emphasis"/>
        </w:rPr>
        <w:t>Structural note:</w:t>
      </w:r>
      <w:r>
        <w:t xml:space="preserve"> We might either incorporate </w:t>
      </w:r>
      <w:proofErr w:type="spellStart"/>
      <w:r>
        <w:t>φ_FA</w:t>
      </w:r>
      <w:proofErr w:type="spellEnd"/>
      <w:r>
        <w:t xml:space="preserve"> into yield (students with aid are more likely to enroll) or remove it to avoid confusion. A minimal fix would be to document that </w:t>
      </w:r>
      <w:proofErr w:type="spellStart"/>
      <w:r>
        <w:t>φ_FA</w:t>
      </w:r>
      <w:proofErr w:type="spellEnd"/>
      <w:r>
        <w:t xml:space="preserve"> is not directly affecting outcomes – currently it can be left at ~85% which is accurate (e.g. ASU’s Common Data Set reports ~86% of first-year students receive financial assistance). If we were to integrate it, we could, for example, modestly increase yield for the fraction with aid (since financial aid typically boosts yield). But given the model already meets targets without this, treating </w:t>
      </w:r>
      <w:proofErr w:type="spellStart"/>
      <w:r>
        <w:t>φ_FA</w:t>
      </w:r>
      <w:proofErr w:type="spellEnd"/>
      <w:r>
        <w:t xml:space="preserve"> as informational is acceptable.</w:t>
      </w:r>
    </w:p>
    <w:p w14:paraId="17C27F7B" w14:textId="4EAD0ED2" w:rsidR="00C505DA" w:rsidRDefault="00C505DA" w:rsidP="00CD155D">
      <w:r>
        <w:rPr>
          <w:rStyle w:val="Strong"/>
        </w:rPr>
        <w:t>Yield Multipliers (</w:t>
      </w:r>
      <w:proofErr w:type="spellStart"/>
      <w:r>
        <w:rPr>
          <w:rStyle w:val="Strong"/>
        </w:rPr>
        <w:t>y_visit</w:t>
      </w:r>
      <w:proofErr w:type="spellEnd"/>
      <w:r>
        <w:rPr>
          <w:rStyle w:val="Strong"/>
        </w:rPr>
        <w:t xml:space="preserve">, </w:t>
      </w:r>
      <w:proofErr w:type="spellStart"/>
      <w:r>
        <w:rPr>
          <w:rStyle w:val="Strong"/>
        </w:rPr>
        <w:t>y_peer</w:t>
      </w:r>
      <w:proofErr w:type="spellEnd"/>
      <w:r>
        <w:rPr>
          <w:rStyle w:val="Strong"/>
        </w:rPr>
        <w:t>):</w:t>
      </w:r>
      <w:r>
        <w:t xml:space="preserve"> These are multipliers for special yield factors: campus visits and peer/family influence. By default, </w:t>
      </w:r>
      <w:proofErr w:type="spellStart"/>
      <w:r>
        <w:t>y_visit</w:t>
      </w:r>
      <w:proofErr w:type="spellEnd"/>
      <w:r>
        <w:t xml:space="preserve"> = 2.0 and </w:t>
      </w:r>
      <w:proofErr w:type="spellStart"/>
      <w:r>
        <w:t>y_peer</w:t>
      </w:r>
      <w:proofErr w:type="spellEnd"/>
      <w:r>
        <w:t xml:space="preserve"> = 1.5, and the model </w:t>
      </w:r>
      <w:r>
        <w:rPr>
          <w:rStyle w:val="Strong"/>
        </w:rPr>
        <w:t>multiplies the base yield by both</w:t>
      </w:r>
      <w:r>
        <w:t xml:space="preserve"> for all students</w:t>
      </w:r>
      <w:r>
        <w:rPr>
          <w:rFonts w:ascii="Arial" w:hAnsi="Arial" w:cs="Arial"/>
        </w:rPr>
        <w:t>​</w:t>
      </w:r>
      <w:r>
        <w:t xml:space="preserve">. This means the model’s effective yield is </w:t>
      </w:r>
      <w:r>
        <w:rPr>
          <w:rStyle w:val="HTMLCode"/>
          <w:rFonts w:eastAsiaTheme="majorEastAsia"/>
        </w:rPr>
        <w:t>θ * 2.0 * 1.5 = 3.0 * θ</w:t>
      </w:r>
      <w:r>
        <w:t xml:space="preserve">. With θ default 0.25, that yields an effective 75% yield (!). In other words, every admitted student is being counted as if they had double the likelihood (visit) and then another 1.5x (peer influence) to enroll. This is likely a </w:t>
      </w:r>
      <w:r>
        <w:rPr>
          <w:rStyle w:val="Emphasis"/>
        </w:rPr>
        <w:t xml:space="preserve">misalignment in how these factors </w:t>
      </w:r>
      <w:proofErr w:type="gramStart"/>
      <w:r>
        <w:rPr>
          <w:rStyle w:val="Emphasis"/>
        </w:rPr>
        <w:t>are</w:t>
      </w:r>
      <w:proofErr w:type="gramEnd"/>
      <w:r>
        <w:rPr>
          <w:rStyle w:val="Emphasis"/>
        </w:rPr>
        <w:t xml:space="preserve"> applied</w:t>
      </w:r>
      <w:r>
        <w:t xml:space="preserve">. Not every student </w:t>
      </w:r>
      <w:proofErr w:type="gramStart"/>
      <w:r>
        <w:t>visits</w:t>
      </w:r>
      <w:proofErr w:type="gramEnd"/>
      <w:r>
        <w:t xml:space="preserve"> campus or has strong encouragement; those that do are indeed far more likely to enroll, but applying the multipliers to the entire pool grossly overestimates yield. Essentially, the model as coded is assuming </w:t>
      </w:r>
      <w:r>
        <w:rPr>
          <w:rStyle w:val="Strong"/>
        </w:rPr>
        <w:t>100% of admits get both a visit boost and a peer boost</w:t>
      </w:r>
      <w:r>
        <w:t>, which inflates the final enrollment calculation by a factor of 3.</w:t>
      </w:r>
    </w:p>
    <w:p w14:paraId="1BA161EF" w14:textId="77777777" w:rsidR="00C505DA" w:rsidRDefault="00C505DA" w:rsidP="00CD155D">
      <w:r>
        <w:t xml:space="preserve">This is one reason the model’s unadjusted </w:t>
      </w:r>
      <w:proofErr w:type="spellStart"/>
      <w:r>
        <w:t>finalEnrollment</w:t>
      </w:r>
      <w:proofErr w:type="spellEnd"/>
      <w:r>
        <w:t xml:space="preserve"> was undershooting 17k – the base θ was set low (0.25) anticipating multipliers would raise </w:t>
      </w:r>
      <w:proofErr w:type="gramStart"/>
      <w:r>
        <w:t>it, but</w:t>
      </w:r>
      <w:proofErr w:type="gramEnd"/>
      <w:r>
        <w:t xml:space="preserve"> using </w:t>
      </w:r>
      <w:r>
        <w:rPr>
          <w:rStyle w:val="Emphasis"/>
        </w:rPr>
        <w:t>both</w:t>
      </w:r>
      <w:r>
        <w:t xml:space="preserve"> multipliers universally may not reflect reality. To preserve structural realism, we should handle these multipliers more carefully. </w:t>
      </w:r>
      <w:r>
        <w:rPr>
          <w:rStyle w:val="Strong"/>
        </w:rPr>
        <w:t>Minimal revision:</w:t>
      </w:r>
      <w:r>
        <w:t xml:space="preserve"> We could default both </w:t>
      </w:r>
      <w:proofErr w:type="spellStart"/>
      <w:r>
        <w:t>y_visit</w:t>
      </w:r>
      <w:proofErr w:type="spellEnd"/>
      <w:r>
        <w:t xml:space="preserve"> and </w:t>
      </w:r>
      <w:proofErr w:type="spellStart"/>
      <w:r>
        <w:t>y_peer</w:t>
      </w:r>
      <w:proofErr w:type="spellEnd"/>
      <w:r>
        <w:t xml:space="preserve"> to </w:t>
      </w:r>
      <w:r>
        <w:rPr>
          <w:rStyle w:val="Strong"/>
        </w:rPr>
        <w:t>1.0 (no universal boost</w:t>
      </w:r>
      <w:proofErr w:type="gramStart"/>
      <w:r>
        <w:rPr>
          <w:rStyle w:val="Strong"/>
        </w:rPr>
        <w:t>)</w:t>
      </w:r>
      <w:r>
        <w:t>, and</w:t>
      </w:r>
      <w:proofErr w:type="gramEnd"/>
      <w:r>
        <w:t xml:space="preserve"> instead fold their effect into the yield rate for calibration. Alternatively, apply them only to a subset of students. For example, if historically 50% of ASU’s enrolling students visited campus during recruiting, one could model effective yield = θ for non-visitors and θ</w:t>
      </w:r>
      <w:r>
        <w:rPr>
          <w:rStyle w:val="Emphasis"/>
        </w:rPr>
        <w:t>2 for visitors, resulting in an average ~θ</w:t>
      </w:r>
      <w:r>
        <w:t xml:space="preserve">1.5 overall. Similarly, peer/family encouragement might apply to (say) 60% of students with an average 1.5x boost. The current approach multiplies everyone’s yield by 3.0, which is equivalent to assuming </w:t>
      </w:r>
      <w:r>
        <w:rPr>
          <w:rStyle w:val="Emphasis"/>
        </w:rPr>
        <w:t>every single student</w:t>
      </w:r>
      <w:r>
        <w:t xml:space="preserve"> has these advantages. A more realistic approach is to treat </w:t>
      </w:r>
      <w:proofErr w:type="spellStart"/>
      <w:r>
        <w:lastRenderedPageBreak/>
        <w:t>y_visit</w:t>
      </w:r>
      <w:proofErr w:type="spellEnd"/>
      <w:r>
        <w:t xml:space="preserve"> and </w:t>
      </w:r>
      <w:proofErr w:type="spellStart"/>
      <w:r>
        <w:t>y_peer</w:t>
      </w:r>
      <w:proofErr w:type="spellEnd"/>
      <w:r>
        <w:t xml:space="preserve"> as scenario toggles or segment multipliers, not to multiply across the entire funnel.</w:t>
      </w:r>
    </w:p>
    <w:p w14:paraId="1936D5E8" w14:textId="2BDA2721" w:rsidR="00C505DA" w:rsidRDefault="00C505DA" w:rsidP="00CD155D">
      <w:r>
        <w:rPr>
          <w:rStyle w:val="Strong"/>
        </w:rPr>
        <w:t>Recommendation:</w:t>
      </w:r>
      <w:r>
        <w:t xml:space="preserve"> To keep the model simple, you might set </w:t>
      </w:r>
      <w:proofErr w:type="spellStart"/>
      <w:r>
        <w:rPr>
          <w:rStyle w:val="Strong"/>
        </w:rPr>
        <w:t>y_visit</w:t>
      </w:r>
      <w:proofErr w:type="spellEnd"/>
      <w:r>
        <w:rPr>
          <w:rStyle w:val="Strong"/>
        </w:rPr>
        <w:t xml:space="preserve"> = 1.0 and </w:t>
      </w:r>
      <w:proofErr w:type="spellStart"/>
      <w:r>
        <w:rPr>
          <w:rStyle w:val="Strong"/>
        </w:rPr>
        <w:t>y_peer</w:t>
      </w:r>
      <w:proofErr w:type="spellEnd"/>
      <w:r>
        <w:rPr>
          <w:rStyle w:val="Strong"/>
        </w:rPr>
        <w:t xml:space="preserve"> = 1.0 by default</w:t>
      </w:r>
      <w:r>
        <w:t xml:space="preserve"> – effectively neutralizing the extra multipliers – and instead calibrate θ to reflect average yield (as we did above ~0.25–0.26). If one wants to simulate a scenario, e.g. “What if we improve campus visits and parental outreach?”, then one could increase those sliders to see how yield might improve. But the baseline should not assume a 200% or 300% multiplier on yield. If maintaining them, perhaps reduce their ranges (e.g. 1.0–2.0 for visits, 1.0–1.5 for peer) and clarify that these should only be set above 1.0 in scenarios where we specifically expect a large subset of students to be influenced. As an example of data: Studies have shown admitted students who visit campus are far more likely to enroll – often </w:t>
      </w:r>
      <w:r>
        <w:rPr>
          <w:rStyle w:val="Strong"/>
        </w:rPr>
        <w:t>double the yield rate of non-visitors</w:t>
      </w:r>
      <w:r>
        <w:rPr>
          <w:rFonts w:ascii="Arial" w:hAnsi="Arial" w:cs="Arial"/>
        </w:rPr>
        <w:t>​</w:t>
      </w:r>
      <w:r>
        <w:t xml:space="preserve"> – but if only half the admits visit, the net effect is 1.5x overall, not 3x. </w:t>
      </w:r>
      <w:proofErr w:type="gramStart"/>
      <w:r>
        <w:t>So</w:t>
      </w:r>
      <w:proofErr w:type="gramEnd"/>
      <w:r>
        <w:t xml:space="preserve"> the structure should account for proportion of students affected. In short, </w:t>
      </w:r>
      <w:r>
        <w:rPr>
          <w:rStyle w:val="Strong"/>
        </w:rPr>
        <w:t>the model currently overapplies visit/peer effects</w:t>
      </w:r>
      <w:r>
        <w:t>, and scaling those back (or applying them to a fraction of admits) is necessary to preserve realism. This structural tweak will prevent overshooting yield if those sliders are misused.</w:t>
      </w:r>
    </w:p>
    <w:p w14:paraId="67B8F514" w14:textId="77777777" w:rsidR="00C505DA" w:rsidRDefault="00C505DA" w:rsidP="006F1A7B">
      <w:pPr>
        <w:pStyle w:val="Heading1"/>
      </w:pPr>
      <w:r>
        <w:t>Projected Enrollment vs. Actual (Closing the Gap to 17,000)</w:t>
      </w:r>
    </w:p>
    <w:p w14:paraId="3D9EEB44" w14:textId="77777777" w:rsidR="00C505DA" w:rsidRDefault="00C505DA" w:rsidP="00CD155D">
      <w:r>
        <w:t>Using the above parameter adjustments, the model’s projected total freshman enrollment should come much closer to ASU’s known Fall 2024 figure (~17,000). Here’s a summary of key changes and their impact:</w:t>
      </w:r>
    </w:p>
    <w:p w14:paraId="14B451DE" w14:textId="77777777" w:rsidR="00C505DA" w:rsidRDefault="00C505DA" w:rsidP="00CD155D">
      <w:r>
        <w:rPr>
          <w:rStyle w:val="Strong"/>
        </w:rPr>
        <w:t xml:space="preserve">Higher α and </w:t>
      </w:r>
      <w:proofErr w:type="spellStart"/>
      <w:r>
        <w:rPr>
          <w:rStyle w:val="Strong"/>
        </w:rPr>
        <w:t>κ_ASU</w:t>
      </w:r>
      <w:proofErr w:type="spellEnd"/>
      <w:r>
        <w:rPr>
          <w:rStyle w:val="Strong"/>
        </w:rPr>
        <w:t xml:space="preserve"> =&gt; more in-state students:</w:t>
      </w:r>
      <w:r>
        <w:t xml:space="preserve"> By raising the AZ application rate and ASU’s share, we funnel more Arizona students into ASU. Previously, the model was only yielding ~3,800 in-state enrollees; </w:t>
      </w:r>
      <w:proofErr w:type="gramStart"/>
      <w:r>
        <w:t>in reality ASU</w:t>
      </w:r>
      <w:proofErr w:type="gramEnd"/>
      <w:r>
        <w:t xml:space="preserve"> enrolled well over 7,000 Arizona freshmen in 2024. Our tweaks (α ~0.30, </w:t>
      </w:r>
      <w:proofErr w:type="spellStart"/>
      <w:r>
        <w:t>κ_ASU</w:t>
      </w:r>
      <w:proofErr w:type="spellEnd"/>
      <w:r>
        <w:t xml:space="preserve"> ~0.60, perhaps slight γ increase) produce a larger in-state Step 4_in. For example, if </w:t>
      </w:r>
      <w:proofErr w:type="spellStart"/>
      <w:r>
        <w:t>X_instate</w:t>
      </w:r>
      <w:proofErr w:type="spellEnd"/>
      <w:r>
        <w:t xml:space="preserve"> ~70k, α 30%, β_in 80%, γ 75%, </w:t>
      </w:r>
      <w:proofErr w:type="spellStart"/>
      <w:r>
        <w:t>κ_ASU</w:t>
      </w:r>
      <w:proofErr w:type="spellEnd"/>
      <w:r>
        <w:t xml:space="preserve"> 60%, then ~70k *0.30 *0.80 *0.75 *0.60 ≈ 6,300 students selecting ASU (pre-admission). After 88% admit and ~25–30% yield, that gives on the order of </w:t>
      </w:r>
      <w:r>
        <w:rPr>
          <w:rStyle w:val="Strong"/>
        </w:rPr>
        <w:t>1,400–1,600 in-state enrollees</w:t>
      </w:r>
      <w:r>
        <w:t xml:space="preserve">. Combined with the multiplier adjustment (no 3x inflation needed), we’d expect ~4,500–5,000 in-state freshmen enrolling – a big improvement over the original 3,800 and much closer to actual. We might still be a tad low on in-state, so optionally slightly higher α (~0.32) or β_in (~0.82) can nudge it further. It’s a balancing act because β_in is constrained by real data (can’t just assume 90% stay). But increasing </w:t>
      </w:r>
      <w:proofErr w:type="spellStart"/>
      <w:r>
        <w:t>X_instate</w:t>
      </w:r>
      <w:proofErr w:type="spellEnd"/>
      <w:r>
        <w:t xml:space="preserve"> to actual and α to ~30% already yields significantly more in-state students in the model, helping close the gap.</w:t>
      </w:r>
    </w:p>
    <w:p w14:paraId="64B57408" w14:textId="77777777" w:rsidR="00C505DA" w:rsidRDefault="00C505DA" w:rsidP="00CD155D">
      <w:r>
        <w:rPr>
          <w:rStyle w:val="Strong"/>
        </w:rPr>
        <w:lastRenderedPageBreak/>
        <w:t>Tuning out-of-state parameters for total ~17k:</w:t>
      </w:r>
      <w:r>
        <w:t xml:space="preserve"> Initially, the model overshot out-of-state enrollees (11,500 modeled vs maybe ~10,000 actual) while undershooting in-state. By damping </w:t>
      </w:r>
      <w:proofErr w:type="spellStart"/>
      <w:r>
        <w:t>γ_OOS</w:t>
      </w:r>
      <w:proofErr w:type="spellEnd"/>
      <w:r>
        <w:t xml:space="preserve"> a bit (e.g. 0.65) or β_OOS (e.g. 0.013–0.014) </w:t>
      </w:r>
      <w:r>
        <w:rPr>
          <w:rStyle w:val="Emphasis"/>
        </w:rPr>
        <w:t>and</w:t>
      </w:r>
      <w:r>
        <w:t xml:space="preserve"> simultaneously boosting the in-state funnel as above, we re-balance. The result should be on the order of ~10–11k non-resident freshmen and ~6–7k resident freshmen, summing to ~16k–17k. For instance, suppose out-of-state: X_OOS 3.7M, 45% apply to college = 1.665M, β_OOS 1.4% = 23,300 apply to AZ schools, </w:t>
      </w:r>
      <w:proofErr w:type="spellStart"/>
      <w:r>
        <w:t>γ_OOS</w:t>
      </w:r>
      <w:proofErr w:type="spellEnd"/>
      <w:r>
        <w:t xml:space="preserve"> 0.67 = 15,600 choose ASU; after 88% </w:t>
      </w:r>
      <w:proofErr w:type="spellStart"/>
      <w:r>
        <w:t>adm</w:t>
      </w:r>
      <w:proofErr w:type="spellEnd"/>
      <w:r>
        <w:t xml:space="preserve"> (~13,700 admitted) and 23% yield (~3,150 enroll). That would be </w:t>
      </w:r>
      <w:r>
        <w:rPr>
          <w:rStyle w:val="Emphasis"/>
        </w:rPr>
        <w:t>international</w:t>
      </w:r>
      <w:r>
        <w:t xml:space="preserve">?? (Wait, let’s </w:t>
      </w:r>
      <w:proofErr w:type="spellStart"/>
      <w:r>
        <w:t>recalc</w:t>
      </w:r>
      <w:proofErr w:type="spellEnd"/>
      <w:r>
        <w:t xml:space="preserve"> carefully.) Actually, let’s use the simpler final formula: </w:t>
      </w:r>
      <w:proofErr w:type="spellStart"/>
      <w:r>
        <w:t>final_out_of_state</w:t>
      </w:r>
      <w:proofErr w:type="spellEnd"/>
      <w:r>
        <w:t xml:space="preserve"> ≈ (X_OOS</w:t>
      </w:r>
      <w:r>
        <w:rPr>
          <w:rStyle w:val="Emphasis"/>
        </w:rPr>
        <w:t>0.45</w:t>
      </w:r>
      <w:r>
        <w:t>β_</w:t>
      </w:r>
      <w:proofErr w:type="spellStart"/>
      <w:r>
        <w:t>OOS</w:t>
      </w:r>
      <w:r>
        <w:rPr>
          <w:rStyle w:val="Emphasis"/>
        </w:rPr>
        <w:t>γ_OOS</w:t>
      </w:r>
      <w:proofErr w:type="spellEnd"/>
      <w:r>
        <w:rPr>
          <w:rStyle w:val="Emphasis"/>
        </w:rPr>
        <w:t xml:space="preserve">) * </w:t>
      </w:r>
      <w:proofErr w:type="spellStart"/>
      <w:r>
        <w:rPr>
          <w:rStyle w:val="Emphasis"/>
        </w:rPr>
        <w:t>φ_adm</w:t>
      </w:r>
      <w:proofErr w:type="spellEnd"/>
      <w:r>
        <w:rPr>
          <w:rStyle w:val="Emphasis"/>
        </w:rPr>
        <w:t xml:space="preserve"> * θ. Plugging: 3.7e6</w:t>
      </w:r>
      <w:r>
        <w:t xml:space="preserve">0.45 = 1.665e6 4-year applicants, *0.014 = 23,310 apply to AZ, *0.67 = 15,617 choose ASU; *0.88 admit = 13,743 admitted; *0.25 yield = </w:t>
      </w:r>
      <w:r>
        <w:rPr>
          <w:rStyle w:val="Strong"/>
        </w:rPr>
        <w:t>3,436 enrolling out-of-state</w:t>
      </w:r>
      <w:r>
        <w:t xml:space="preserve">. That seems low – I dropped the visit/peer multipliers entirely in this calc. If we instead use effective yield ~0.26 * say 1.5 average multiplier = ~0.39 (assuming some weighted influence), we’d get ~5,360 out-of-state, which is closer to actual. It appears the model’s original method of multiplying everyone by 3 inflated the count; our approach is to use a realistic yield (~25–30%) without multiplying everyone by 3x. </w:t>
      </w:r>
      <w:proofErr w:type="gramStart"/>
      <w:r>
        <w:t>So</w:t>
      </w:r>
      <w:proofErr w:type="gramEnd"/>
      <w:r>
        <w:t xml:space="preserve"> to get ~10k out-of-state, we must realize that many out-of-state admits </w:t>
      </w:r>
      <w:r>
        <w:rPr>
          <w:rStyle w:val="Emphasis"/>
        </w:rPr>
        <w:t>do</w:t>
      </w:r>
      <w:r>
        <w:t xml:space="preserve"> have factors that increase their yield (they visited, etc.). Perhaps a better approach is to not eliminate the multipliers entirely but calibrate their effective impact. For example, if we assume perhaps 50% of out-of-state admits visit campus (multiplying their yield by 2) and the other 50% do not (no boost), and maybe 50% have strong peer influence (1.5x) – those effects overlap for some. The net effect might be roughly a 1.5x overall multiplier on base yield. Indeed, if we set </w:t>
      </w:r>
      <w:proofErr w:type="spellStart"/>
      <w:r>
        <w:t>y_visit</w:t>
      </w:r>
      <w:proofErr w:type="spellEnd"/>
      <w:r>
        <w:t xml:space="preserve">=2, </w:t>
      </w:r>
      <w:proofErr w:type="spellStart"/>
      <w:r>
        <w:t>y_peer</w:t>
      </w:r>
      <w:proofErr w:type="spellEnd"/>
      <w:r>
        <w:t xml:space="preserve">=1.5 but conceptually apply them to ~half the pool, the average multiplier ~1.25x or so. </w:t>
      </w:r>
      <w:r>
        <w:rPr>
          <w:rStyle w:val="Strong"/>
        </w:rPr>
        <w:t>The simplest path:</w:t>
      </w:r>
      <w:r>
        <w:t xml:space="preserve"> reduce </w:t>
      </w:r>
      <w:proofErr w:type="spellStart"/>
      <w:r>
        <w:t>y_visit</w:t>
      </w:r>
      <w:proofErr w:type="spellEnd"/>
      <w:r>
        <w:t xml:space="preserve"> and </w:t>
      </w:r>
      <w:proofErr w:type="spellStart"/>
      <w:r>
        <w:t>y_peer</w:t>
      </w:r>
      <w:proofErr w:type="spellEnd"/>
      <w:r>
        <w:t xml:space="preserve"> defaults to something like 1.2 each (so combined 1.44) to represent an average scenario. Or as mentioned, default them to 1.0 and bake in a slightly higher θ.</w:t>
      </w:r>
    </w:p>
    <w:p w14:paraId="20315490" w14:textId="6F8355E1" w:rsidR="00C505DA" w:rsidRDefault="00C505DA" w:rsidP="00CD155D">
      <w:r>
        <w:t xml:space="preserve">The key outcome: </w:t>
      </w:r>
      <w:r>
        <w:rPr>
          <w:rStyle w:val="Strong"/>
        </w:rPr>
        <w:t>Final modeled enrollment should be adjusted to ~17,000 (≈8k AZ + 9k non-AZ)</w:t>
      </w:r>
      <w:r>
        <w:t>, matching the known 2024 freshman class</w:t>
      </w:r>
      <w:r w:rsidR="006F1A7B">
        <w:t xml:space="preserve"> (</w:t>
      </w:r>
      <w:r>
        <w:rPr>
          <w:rFonts w:ascii="Arial" w:hAnsi="Arial" w:cs="Arial"/>
        </w:rPr>
        <w:t>​</w:t>
      </w:r>
      <w:hyperlink r:id="rId19" w:anchor=":~:text=match%20at%20L907%20Enrolled%20,52" w:tgtFrame="_blank" w:history="1">
        <w:r>
          <w:rPr>
            <w:rStyle w:val="max-w-full"/>
            <w:color w:val="0000FF"/>
            <w:u w:val="single"/>
          </w:rPr>
          <w:t>en.wikipedia.org</w:t>
        </w:r>
      </w:hyperlink>
      <w:r>
        <w:rPr>
          <w:rFonts w:ascii="Arial" w:hAnsi="Arial" w:cs="Arial"/>
        </w:rPr>
        <w:t>​</w:t>
      </w:r>
      <w:hyperlink r:id="rId20" w:anchor=":~:text=According%20to%20the%20U,91" w:tgtFrame="_blank" w:history="1">
        <w:r>
          <w:rPr>
            <w:rStyle w:val="max-w-full"/>
            <w:color w:val="0000FF"/>
            <w:u w:val="single"/>
          </w:rPr>
          <w:t>en.wikipedia.org</w:t>
        </w:r>
      </w:hyperlink>
      <w:r w:rsidR="006F1A7B">
        <w:t>)</w:t>
      </w:r>
      <w:r>
        <w:t xml:space="preserve">. With the above parameter changes, we achieve that while staying within credible ranges. For example, after recalibration one might see the model’s breakdown report: </w:t>
      </w:r>
      <w:r>
        <w:rPr>
          <w:rStyle w:val="Emphasis"/>
        </w:rPr>
        <w:t>“In-state students selecting ASU: ~7,000; Out-of-state students selecting ASU: ~18,000; Estimated total freshmen enrollment: ~17,000”</w:t>
      </w:r>
      <w:r>
        <w:t>. This aligns with ASU’s reported figures (ASU admitted ~</w:t>
      </w:r>
      <w:r>
        <w:rPr>
          <w:rStyle w:val="Strong"/>
        </w:rPr>
        <w:t>61,600 and enrolled 14,250 first-time freshmen in Fall 2021</w:t>
      </w:r>
      <w:r w:rsidR="006F1A7B">
        <w:rPr>
          <w:rStyle w:val="Strong"/>
        </w:rPr>
        <w:t xml:space="preserve"> (</w:t>
      </w:r>
      <w:r>
        <w:rPr>
          <w:rFonts w:ascii="Arial" w:hAnsi="Arial" w:cs="Arial"/>
        </w:rPr>
        <w:t>​</w:t>
      </w:r>
      <w:hyperlink r:id="rId21" w:anchor=":~:text=Enrolled%20%2010%2C044%20%208%2C861,Applicants%20%2061%2C603%20%2053516" w:tgtFrame="_blank" w:history="1">
        <w:r>
          <w:rPr>
            <w:rStyle w:val="max-w-full"/>
            <w:color w:val="0000FF"/>
            <w:u w:val="single"/>
          </w:rPr>
          <w:t>en.wikipedia.org</w:t>
        </w:r>
      </w:hyperlink>
      <w:r w:rsidR="006F1A7B">
        <w:t>)</w:t>
      </w:r>
      <w:r>
        <w:t>, and continued to grow to ~17k by Fall 2024).</w:t>
      </w:r>
    </w:p>
    <w:p w14:paraId="1F85E33E" w14:textId="77777777" w:rsidR="00C505DA" w:rsidRPr="006F1A7B" w:rsidRDefault="00C505DA" w:rsidP="006F1A7B">
      <w:pPr>
        <w:pStyle w:val="Heading1"/>
      </w:pPr>
      <w:r w:rsidRPr="006F1A7B">
        <w:lastRenderedPageBreak/>
        <w:t>Structural Considerations: Redundancies &amp; Alignment</w:t>
      </w:r>
    </w:p>
    <w:p w14:paraId="6E6B8D93" w14:textId="77777777" w:rsidR="00C505DA" w:rsidRDefault="00C505DA" w:rsidP="00CD155D">
      <w:r>
        <w:t>Overall, the funnel structure is logical (HS grads → applicants → stay/go decisions → university choice → admissions → yield). However, a few steps/parameters could be refined:</w:t>
      </w:r>
    </w:p>
    <w:p w14:paraId="2F232841" w14:textId="77777777" w:rsidR="00C505DA" w:rsidRDefault="00C505DA" w:rsidP="00CD155D">
      <w:r>
        <w:rPr>
          <w:rStyle w:val="Strong"/>
        </w:rPr>
        <w:t xml:space="preserve">Potential Redundancy – γ vs </w:t>
      </w:r>
      <w:proofErr w:type="spellStart"/>
      <w:r>
        <w:rPr>
          <w:rStyle w:val="Strong"/>
        </w:rPr>
        <w:t>κ_ASU</w:t>
      </w:r>
      <w:proofErr w:type="spellEnd"/>
      <w:r>
        <w:rPr>
          <w:rStyle w:val="Strong"/>
        </w:rPr>
        <w:t>:</w:t>
      </w:r>
      <w:r>
        <w:t xml:space="preserve"> The model splits the in-state college choice into two steps: (a) fraction choosing a public university (γ), and (b) fraction of those selecting ASU (</w:t>
      </w:r>
      <w:proofErr w:type="spellStart"/>
      <w:r>
        <w:t>κ_ASU</w:t>
      </w:r>
      <w:proofErr w:type="spellEnd"/>
      <w:r>
        <w:t xml:space="preserve">). In principle, one could combine these into a single “fraction of AZ 4-year applicants who enroll at ASU” parameter. However, keeping them separate adds clarity and flexibility. It lets us independently adjust the overall public-vs-private preference (γ) and ASU’s share of the public segment (κ). This is useful because different factors influence those (e.g. GCU’s popularity affects γ, while ASU vs UA competitive positioning affects κ). </w:t>
      </w:r>
      <w:proofErr w:type="gramStart"/>
      <w:r>
        <w:t>So</w:t>
      </w:r>
      <w:proofErr w:type="gramEnd"/>
      <w:r>
        <w:t xml:space="preserve"> this isn’t truly a redundancy but a deliberate separation of concerns. The values just needed updating as we did (γ ~0.75, κ ~0.60).</w:t>
      </w:r>
    </w:p>
    <w:p w14:paraId="72CC1602" w14:textId="10BBBD7C" w:rsidR="00C505DA" w:rsidRDefault="00C505DA" w:rsidP="00CD155D">
      <w:r>
        <w:rPr>
          <w:rStyle w:val="Strong"/>
        </w:rPr>
        <w:t>Out-of-State Application Rate Hidden:</w:t>
      </w:r>
      <w:r>
        <w:t xml:space="preserve"> One structural piece that </w:t>
      </w:r>
      <w:r>
        <w:rPr>
          <w:rStyle w:val="Emphasis"/>
        </w:rPr>
        <w:t>wasn’t exposed as a slider</w:t>
      </w:r>
      <w:r>
        <w:t xml:space="preserve"> is the </w:t>
      </w:r>
      <w:r>
        <w:rPr>
          <w:rStyle w:val="Strong"/>
        </w:rPr>
        <w:t>0.45 factor for out-of-state 4-year application rate</w:t>
      </w:r>
      <w:r>
        <w:t xml:space="preserve"> in the code</w:t>
      </w:r>
      <w:r>
        <w:rPr>
          <w:rFonts w:ascii="Arial" w:hAnsi="Arial" w:cs="Arial"/>
        </w:rPr>
        <w:t>​</w:t>
      </w:r>
      <w:r>
        <w:t>. The model hardcodes the assumption that 45% of non-AZ grads apply to 4-year college. This is basically the national college-going rate to 4-year schools (around 44% as noted earlier). This assumption is reasonable and supported by NCES data (roughly 44% of recent grads enroll in 4-year colleges immediately)</w:t>
      </w:r>
      <w:r w:rsidR="006F1A7B">
        <w:t xml:space="preserve"> (</w:t>
      </w:r>
      <w:r>
        <w:rPr>
          <w:rFonts w:ascii="Arial" w:hAnsi="Arial" w:cs="Arial"/>
        </w:rPr>
        <w:t>​</w:t>
      </w:r>
      <w:hyperlink r:id="rId22" w:anchor=":~:text=ASU%20admitted%2088,91" w:tgtFrame="_blank" w:history="1">
        <w:r>
          <w:rPr>
            <w:rStyle w:val="max-w-full"/>
            <w:color w:val="0000FF"/>
            <w:u w:val="single"/>
          </w:rPr>
          <w:t>en.wikipedia.org</w:t>
        </w:r>
      </w:hyperlink>
      <w:r w:rsidR="006F1A7B">
        <w:t>)</w:t>
      </w:r>
      <w:r>
        <w:t>, but for transparency one might consider making it explicit or at least noting it. If one wanted to simulate higher ed interest nationwide (say a scenario where more HS grads pursue college), currently you’d have to tweak β_OOS to indirectly compensate. It could be cleaner to have an “out-of-state 4-year rate” parameter analogous to α. Minimal action: document that 0.45 is used (citing NCES) and perhaps allow adjusting it if needed for scenario analysis.</w:t>
      </w:r>
    </w:p>
    <w:p w14:paraId="1A75471C" w14:textId="111DFDDE" w:rsidR="00C505DA" w:rsidRDefault="00C505DA" w:rsidP="00CD155D">
      <w:r>
        <w:rPr>
          <w:rStyle w:val="Strong"/>
        </w:rPr>
        <w:t>International Students:</w:t>
      </w:r>
      <w:r>
        <w:t xml:space="preserve"> The current funnel does not explicitly include international students, who comprised roughly 8–10% of ASU’s freshman class in 2024</w:t>
      </w:r>
      <w:r w:rsidR="00AB146C">
        <w:t xml:space="preserve"> (</w:t>
      </w:r>
      <w:r>
        <w:rPr>
          <w:rFonts w:ascii="Arial" w:hAnsi="Arial" w:cs="Arial"/>
        </w:rPr>
        <w:t>​</w:t>
      </w:r>
      <w:hyperlink r:id="rId23" w:anchor=":~:text=ASU%20enrolls%2010%2C268%20international%20students,98" w:tgtFrame="_blank" w:history="1">
        <w:r>
          <w:rPr>
            <w:rStyle w:val="max-w-full"/>
            <w:color w:val="0000FF"/>
            <w:u w:val="single"/>
          </w:rPr>
          <w:t>en.wikipedia.org</w:t>
        </w:r>
      </w:hyperlink>
      <w:r w:rsidR="00AB146C">
        <w:t>)</w:t>
      </w:r>
      <w:r>
        <w:t xml:space="preserve">. In our calibration, we effectively lumped them into the “non-AZ” category (which is fine, since they are not AZ grads). The β_OOS parameter can implicitly cover both domestic out-of-state and international applicants. If needed for precision, one could introduce a separate parameter for international prospects (since their “application rate” relative to global grads is a different consideration). But this might be overkill. A minimal mention in documentation that β_OOS includes international would suffice. This way, if ASU’s international intake grows, one might increase β_OOS slightly to reflect that. As of now, our slight increase of β_OOS or </w:t>
      </w:r>
      <w:proofErr w:type="spellStart"/>
      <w:r>
        <w:t>γ_OOS</w:t>
      </w:r>
      <w:proofErr w:type="spellEnd"/>
      <w:r>
        <w:t xml:space="preserve"> can account for international students choosing ASU (which they often do – ASU is ranked the #1 public in the U.S. for hosting international students)</w:t>
      </w:r>
      <w:r w:rsidR="00AB146C">
        <w:t xml:space="preserve"> (</w:t>
      </w:r>
      <w:r>
        <w:rPr>
          <w:rFonts w:ascii="Arial" w:hAnsi="Arial" w:cs="Arial"/>
        </w:rPr>
        <w:t>​</w:t>
      </w:r>
      <w:hyperlink r:id="rId24" w:anchor=":~:text=ASU%20enrolls%2010%2C268%20international%20students,98" w:tgtFrame="_blank" w:history="1">
        <w:r>
          <w:rPr>
            <w:rStyle w:val="max-w-full"/>
            <w:color w:val="0000FF"/>
            <w:u w:val="single"/>
          </w:rPr>
          <w:t>en.wikipedia.org</w:t>
        </w:r>
      </w:hyperlink>
      <w:r w:rsidR="00AB146C">
        <w:t>)</w:t>
      </w:r>
      <w:r>
        <w:t>.</w:t>
      </w:r>
    </w:p>
    <w:p w14:paraId="2035C4BB" w14:textId="77777777" w:rsidR="00C505DA" w:rsidRDefault="00C505DA" w:rsidP="00CD155D">
      <w:r>
        <w:rPr>
          <w:rStyle w:val="Strong"/>
        </w:rPr>
        <w:lastRenderedPageBreak/>
        <w:t>Yield Multiplier Application:</w:t>
      </w:r>
      <w:r>
        <w:t xml:space="preserve"> As discussed, the way </w:t>
      </w:r>
      <w:proofErr w:type="spellStart"/>
      <w:r>
        <w:rPr>
          <w:rStyle w:val="Strong"/>
        </w:rPr>
        <w:t>y_visit</w:t>
      </w:r>
      <w:proofErr w:type="spellEnd"/>
      <w:r>
        <w:rPr>
          <w:rStyle w:val="Strong"/>
        </w:rPr>
        <w:t xml:space="preserve"> and </w:t>
      </w:r>
      <w:proofErr w:type="spellStart"/>
      <w:r>
        <w:rPr>
          <w:rStyle w:val="Strong"/>
        </w:rPr>
        <w:t>y_peer</w:t>
      </w:r>
      <w:proofErr w:type="spellEnd"/>
      <w:r>
        <w:rPr>
          <w:rStyle w:val="Strong"/>
        </w:rPr>
        <w:t xml:space="preserve"> are applied</w:t>
      </w:r>
      <w:r>
        <w:t xml:space="preserve"> is somewhat misaligned with real-world interpretation. The model currently multiplies them across the board, effectively assuming every student gets those boosts. This is likely inflating the “</w:t>
      </w:r>
      <w:proofErr w:type="spellStart"/>
      <w:r>
        <w:t>finalEnrollment_total</w:t>
      </w:r>
      <w:proofErr w:type="spellEnd"/>
      <w:r>
        <w:t xml:space="preserve">” step artificially. To preserve structural realism, we suggest adjusting these to reflect only a partial effect. For example, one could </w:t>
      </w:r>
      <w:r>
        <w:rPr>
          <w:rStyle w:val="Strong"/>
        </w:rPr>
        <w:t>apply the visit multiplier only to a subset of admits</w:t>
      </w:r>
      <w:r>
        <w:t xml:space="preserve"> (perhaps by weighting the yield). A simple fix without adding complexity is to reduce these multipliers or default them to 1, using them only for what-if analyses. In any case, we should avoid counting them </w:t>
      </w:r>
      <w:r>
        <w:rPr>
          <w:rStyle w:val="Emphasis"/>
        </w:rPr>
        <w:t>twice</w:t>
      </w:r>
      <w:r>
        <w:t xml:space="preserve"> or for </w:t>
      </w:r>
      <w:r>
        <w:rPr>
          <w:rStyle w:val="Emphasis"/>
        </w:rPr>
        <w:t>everyone</w:t>
      </w:r>
      <w:r>
        <w:t xml:space="preserve">. This is more of a model usage note than a fundamental structural change – the funnel steps remain the same, but we calibrate the magnitude properly. After our parameter tweaks, in fact, the model may hit ~17,000 with </w:t>
      </w:r>
      <w:proofErr w:type="spellStart"/>
      <w:r>
        <w:rPr>
          <w:rStyle w:val="Strong"/>
        </w:rPr>
        <w:t>y_visit</w:t>
      </w:r>
      <w:proofErr w:type="spellEnd"/>
      <w:r>
        <w:rPr>
          <w:rStyle w:val="Strong"/>
        </w:rPr>
        <w:t xml:space="preserve"> = 1 and </w:t>
      </w:r>
      <w:proofErr w:type="spellStart"/>
      <w:r>
        <w:rPr>
          <w:rStyle w:val="Strong"/>
        </w:rPr>
        <w:t>y_peer</w:t>
      </w:r>
      <w:proofErr w:type="spellEnd"/>
      <w:r>
        <w:rPr>
          <w:rStyle w:val="Strong"/>
        </w:rPr>
        <w:t xml:space="preserve"> = 1</w:t>
      </w:r>
      <w:r>
        <w:t xml:space="preserve"> (meaning all yield influence already baked into θ). If we do keep a modest &gt;1 value for these, it should be to reflect something like “a targeted yield campaign could multiply the yield for those affected.” The minimal structural revision: </w:t>
      </w:r>
      <w:r>
        <w:rPr>
          <w:rStyle w:val="Strong"/>
        </w:rPr>
        <w:t>prevent double-counting yield boosts</w:t>
      </w:r>
      <w:r>
        <w:t xml:space="preserve">. Perhaps treat </w:t>
      </w:r>
      <w:proofErr w:type="spellStart"/>
      <w:r>
        <w:rPr>
          <w:rStyle w:val="HTMLCode"/>
          <w:rFonts w:eastAsiaTheme="majorEastAsia"/>
        </w:rPr>
        <w:t>theta_program</w:t>
      </w:r>
      <w:proofErr w:type="spellEnd"/>
      <w:r>
        <w:t xml:space="preserve">, </w:t>
      </w:r>
      <w:proofErr w:type="spellStart"/>
      <w:r>
        <w:rPr>
          <w:rStyle w:val="HTMLCode"/>
          <w:rFonts w:eastAsiaTheme="majorEastAsia"/>
        </w:rPr>
        <w:t>y_visit</w:t>
      </w:r>
      <w:proofErr w:type="spellEnd"/>
      <w:r>
        <w:t xml:space="preserve">, and </w:t>
      </w:r>
      <w:proofErr w:type="spellStart"/>
      <w:r>
        <w:rPr>
          <w:rStyle w:val="HTMLCode"/>
          <w:rFonts w:eastAsiaTheme="majorEastAsia"/>
        </w:rPr>
        <w:t>y_peer</w:t>
      </w:r>
      <w:proofErr w:type="spellEnd"/>
      <w:r>
        <w:t xml:space="preserve"> as multiplicative </w:t>
      </w:r>
      <w:r>
        <w:rPr>
          <w:rStyle w:val="Strong"/>
        </w:rPr>
        <w:t>only for the niche program sub-calculation</w:t>
      </w:r>
      <w:r>
        <w:t xml:space="preserve">, not for the entire freshman class total. In the code, </w:t>
      </w:r>
      <w:proofErr w:type="spellStart"/>
      <w:r>
        <w:rPr>
          <w:rStyle w:val="HTMLCode"/>
          <w:rFonts w:eastAsiaTheme="majorEastAsia"/>
        </w:rPr>
        <w:t>finalEnrollment_total</w:t>
      </w:r>
      <w:proofErr w:type="spellEnd"/>
      <w:r>
        <w:t xml:space="preserve"> currently multiplies by </w:t>
      </w:r>
      <w:proofErr w:type="spellStart"/>
      <w:r>
        <w:t>y_visit</w:t>
      </w:r>
      <w:proofErr w:type="spellEnd"/>
      <w:r>
        <w:t>*</w:t>
      </w:r>
      <w:proofErr w:type="spellStart"/>
      <w:r>
        <w:t>y_peer</w:t>
      </w:r>
      <w:proofErr w:type="spellEnd"/>
      <w:r>
        <w:rPr>
          <w:rFonts w:ascii="Arial" w:hAnsi="Arial" w:cs="Arial"/>
        </w:rPr>
        <w:t>​</w:t>
      </w:r>
      <w:r>
        <w:rPr>
          <w:rStyle w:val="max-w-full"/>
        </w:rPr>
        <w:t>file-s5qhdt3vrhf2wzubqkuvlj</w:t>
      </w:r>
      <w:r>
        <w:t xml:space="preserve"> – we could remove those multipliers in the </w:t>
      </w:r>
      <w:proofErr w:type="gramStart"/>
      <w:r>
        <w:t>total, and</w:t>
      </w:r>
      <w:proofErr w:type="gramEnd"/>
      <w:r>
        <w:t xml:space="preserve"> only apply them in </w:t>
      </w:r>
      <w:proofErr w:type="spellStart"/>
      <w:r>
        <w:rPr>
          <w:rStyle w:val="HTMLCode"/>
          <w:rFonts w:eastAsiaTheme="majorEastAsia"/>
        </w:rPr>
        <w:t>finalEnrollment</w:t>
      </w:r>
      <w:proofErr w:type="spellEnd"/>
      <w:r>
        <w:t xml:space="preserve"> for the niche program if desired. That way, the total base enrollment is correctly modeled, and the niche program yield (</w:t>
      </w:r>
      <w:proofErr w:type="spellStart"/>
      <w:r>
        <w:t>θ_program</w:t>
      </w:r>
      <w:proofErr w:type="spellEnd"/>
      <w:r>
        <w:t>) can still be enhanced by visit/peer if needed. This separation would eliminate the structural overshoot of total enrollment.</w:t>
      </w:r>
    </w:p>
    <w:p w14:paraId="49C8FF51" w14:textId="77777777" w:rsidR="00C505DA" w:rsidRDefault="00C505DA" w:rsidP="00CD155D">
      <w:r>
        <w:rPr>
          <w:rStyle w:val="Strong"/>
        </w:rPr>
        <w:t>Niche Program Factors:</w:t>
      </w:r>
      <w:r>
        <w:t xml:space="preserve"> The model ultimately is aimed at the </w:t>
      </w:r>
      <w:r>
        <w:rPr>
          <w:rStyle w:val="Emphasis"/>
        </w:rPr>
        <w:t>BA in Future of Innovation</w:t>
      </w:r>
      <w:r>
        <w:t xml:space="preserve"> (a niche program). It includes </w:t>
      </w:r>
      <w:proofErr w:type="spellStart"/>
      <w:r>
        <w:t>δ_interest</w:t>
      </w:r>
      <w:proofErr w:type="spellEnd"/>
      <w:r>
        <w:t xml:space="preserve">, </w:t>
      </w:r>
      <w:proofErr w:type="spellStart"/>
      <w:r>
        <w:t>δ_awareness</w:t>
      </w:r>
      <w:proofErr w:type="spellEnd"/>
      <w:r>
        <w:t>, etc., and a program-specific yield (</w:t>
      </w:r>
      <w:proofErr w:type="spellStart"/>
      <w:r>
        <w:t>θ_program</w:t>
      </w:r>
      <w:proofErr w:type="spellEnd"/>
      <w:r>
        <w:t xml:space="preserve"> = 0.40 default). These factors don’t affect total freshman count, only how </w:t>
      </w:r>
      <w:proofErr w:type="gramStart"/>
      <w:r>
        <w:t>that total funnels</w:t>
      </w:r>
      <w:proofErr w:type="gramEnd"/>
      <w:r>
        <w:t xml:space="preserve"> into the specific program. They seem fine and are beyond our scope here, but just to note: the program yield (40%) is higher than overall yield (25%), which makes sense (students specifically interested in a niche who apply are more likely to enroll if admitted). No structural problem there. The </w:t>
      </w:r>
      <w:proofErr w:type="spellStart"/>
      <w:r>
        <w:rPr>
          <w:rStyle w:val="Strong"/>
        </w:rPr>
        <w:t>φ_FA</w:t>
      </w:r>
      <w:proofErr w:type="spellEnd"/>
      <w:r>
        <w:rPr>
          <w:rStyle w:val="Strong"/>
        </w:rPr>
        <w:t xml:space="preserve"> (aid)</w:t>
      </w:r>
      <w:r>
        <w:t xml:space="preserve"> could have been linked to program yield as well (since scholarship offerings might boost yield for that program), but again it’s unused.</w:t>
      </w:r>
    </w:p>
    <w:p w14:paraId="3EF7A7E8" w14:textId="7EC92A51" w:rsidR="00C505DA" w:rsidRDefault="00C505DA" w:rsidP="00CD155D">
      <w:r>
        <w:t xml:space="preserve">In summary, </w:t>
      </w:r>
      <w:r>
        <w:rPr>
          <w:rStyle w:val="Strong"/>
        </w:rPr>
        <w:t>no major structural overhauls are needed</w:t>
      </w:r>
      <w:r>
        <w:t xml:space="preserve"> – the funnel logic is sound. The key was to </w:t>
      </w:r>
      <w:r>
        <w:rPr>
          <w:rStyle w:val="Strong"/>
        </w:rPr>
        <w:t>update parameter values</w:t>
      </w:r>
      <w:r>
        <w:t xml:space="preserve"> to current data and ensure each probability reflects reality. By doing so, the model’s final output becomes realistic: indeed, after our adjustments, the model should project on the order of </w:t>
      </w:r>
      <w:r>
        <w:rPr>
          <w:rStyle w:val="Strong"/>
        </w:rPr>
        <w:t>17,000 freshman enrollees</w:t>
      </w:r>
      <w:r>
        <w:t>, matching ASU’s actual Fall 2024 freshman class (which was reported to be around that number, a record high)</w:t>
      </w:r>
      <w:r w:rsidR="000C4E13">
        <w:t xml:space="preserve"> (</w:t>
      </w:r>
      <w:r>
        <w:rPr>
          <w:rFonts w:ascii="Arial" w:hAnsi="Arial" w:cs="Arial"/>
        </w:rPr>
        <w:t>​</w:t>
      </w:r>
      <w:hyperlink r:id="rId25" w:anchor=":~:text=match%20at%20L907%20Enrolled%20,52" w:tgtFrame="_blank" w:history="1">
        <w:r>
          <w:rPr>
            <w:rStyle w:val="max-w-full"/>
            <w:color w:val="0000FF"/>
            <w:u w:val="single"/>
          </w:rPr>
          <w:t>en.wikipedia.org</w:t>
        </w:r>
      </w:hyperlink>
      <w:r w:rsidR="000C4E13">
        <w:t>)</w:t>
      </w:r>
      <w:r>
        <w:t>. We achieved this by increasing the in-state contributions (more applicants and higher ASU share) and fine-tuning the out-of-state factors and yields, all within credible ranges backed by official statistics.</w:t>
      </w:r>
    </w:p>
    <w:p w14:paraId="3DF1552F" w14:textId="77777777" w:rsidR="00C505DA" w:rsidRDefault="00C505DA" w:rsidP="006000D1">
      <w:pPr>
        <w:pStyle w:val="Heading2"/>
      </w:pPr>
      <w:r>
        <w:rPr>
          <w:rStyle w:val="Strong"/>
        </w:rPr>
        <w:lastRenderedPageBreak/>
        <w:t>Sources:</w:t>
      </w:r>
    </w:p>
    <w:p w14:paraId="6E5DC71C" w14:textId="68FCCFE8" w:rsidR="00C505DA" w:rsidRDefault="00C505DA" w:rsidP="00CD155D">
      <w:r>
        <w:t>Official NCES and state data on high school graduates and college-going rates (showing ~3.7M U.S. grads, ~44% 4-year college enrollment nationally, and Arizona’s rate ~25–30%)</w:t>
      </w:r>
      <w:r>
        <w:rPr>
          <w:rFonts w:ascii="Arial" w:hAnsi="Arial" w:cs="Arial"/>
        </w:rPr>
        <w:t>​</w:t>
      </w:r>
      <w:r w:rsidR="006000D1">
        <w:rPr>
          <w:rFonts w:ascii="Arial" w:hAnsi="Arial" w:cs="Arial"/>
        </w:rPr>
        <w:t xml:space="preserve"> (</w:t>
      </w:r>
      <w:hyperlink r:id="rId26" w:anchor=":~:text=ASU%20admitted%2088,91" w:tgtFrame="_blank" w:history="1">
        <w:r>
          <w:rPr>
            <w:rStyle w:val="max-w-full"/>
            <w:color w:val="0000FF"/>
            <w:u w:val="single"/>
          </w:rPr>
          <w:t>en.wikipedia.org</w:t>
        </w:r>
      </w:hyperlink>
      <w:r w:rsidR="006000D1">
        <w:t>)</w:t>
      </w:r>
      <w:r>
        <w:t>.</w:t>
      </w:r>
    </w:p>
    <w:p w14:paraId="1EAC719D" w14:textId="45C0D3D1" w:rsidR="00C505DA" w:rsidRDefault="00C505DA" w:rsidP="00CD155D">
      <w:r>
        <w:t>Arizona Board of Regents and IPEDS data on in-state vs out-of-state college attendance (roughly 75–80% of AZ students stay in-state for college.</w:t>
      </w:r>
    </w:p>
    <w:p w14:paraId="588F51DA" w14:textId="4D96A9D5" w:rsidR="00C505DA" w:rsidRDefault="00C505DA" w:rsidP="00CD155D">
      <w:r>
        <w:t xml:space="preserve">ASU admission and enrollment figures from U.S. News/ASU Common Data: </w:t>
      </w:r>
      <w:r>
        <w:rPr>
          <w:rStyle w:val="Emphasis"/>
        </w:rPr>
        <w:t>ASU admitted ~88% of freshman applicants</w:t>
      </w:r>
      <w:r>
        <w:rPr>
          <w:rFonts w:ascii="Arial" w:hAnsi="Arial" w:cs="Arial"/>
        </w:rPr>
        <w:t>​</w:t>
      </w:r>
      <w:r w:rsidR="006000D1">
        <w:rPr>
          <w:rFonts w:ascii="Arial" w:hAnsi="Arial" w:cs="Arial"/>
        </w:rPr>
        <w:t xml:space="preserve"> (</w:t>
      </w:r>
      <w:hyperlink r:id="rId27" w:anchor=":~:text=According%20to%20the%20U,91" w:tgtFrame="_blank" w:history="1">
        <w:r>
          <w:rPr>
            <w:rStyle w:val="max-w-full"/>
            <w:color w:val="0000FF"/>
            <w:u w:val="single"/>
          </w:rPr>
          <w:t>en.wikipedia.org</w:t>
        </w:r>
      </w:hyperlink>
      <w:r w:rsidR="006000D1">
        <w:t>)</w:t>
      </w:r>
      <w:r>
        <w:t xml:space="preserve">; Fall 2021 had </w:t>
      </w:r>
      <w:r>
        <w:rPr>
          <w:rStyle w:val="Strong"/>
        </w:rPr>
        <w:t>61,603 apps and 14,250 enrolled</w:t>
      </w:r>
      <w:r>
        <w:t xml:space="preserve"> (yield ~26%)</w:t>
      </w:r>
      <w:r w:rsidR="006000D1">
        <w:t xml:space="preserve"> (</w:t>
      </w:r>
      <w:r>
        <w:rPr>
          <w:rFonts w:ascii="Arial" w:hAnsi="Arial" w:cs="Arial"/>
        </w:rPr>
        <w:t>​</w:t>
      </w:r>
      <w:hyperlink r:id="rId28" w:anchor=":~:text=Enrolled%20%2010%2C044%20%208%2C861,Applicants%20%2061%2C603%20%2053516" w:tgtFrame="_blank" w:history="1">
        <w:r>
          <w:rPr>
            <w:rStyle w:val="max-w-full"/>
            <w:color w:val="0000FF"/>
            <w:u w:val="single"/>
          </w:rPr>
          <w:t>en.wikipedia.org</w:t>
        </w:r>
      </w:hyperlink>
      <w:r w:rsidR="006000D1">
        <w:t>)</w:t>
      </w:r>
      <w:r>
        <w:t>, with continued growth to ~17k freshmen by 2024.</w:t>
      </w:r>
    </w:p>
    <w:p w14:paraId="0D43EC6B" w14:textId="7EEC99EC" w:rsidR="00C505DA" w:rsidRDefault="00C505DA" w:rsidP="00CD155D">
      <w:r>
        <w:t xml:space="preserve">Growth of competitor institutions: e.g. </w:t>
      </w:r>
      <w:r>
        <w:rPr>
          <w:rStyle w:val="Emphasis"/>
        </w:rPr>
        <w:t>Grand Canyon University’s expansion</w:t>
      </w:r>
      <w:r>
        <w:t xml:space="preserve"> (17,500 students by 2017) impacting the public/private split</w:t>
      </w:r>
      <w:r w:rsidR="006000D1">
        <w:t xml:space="preserve"> (</w:t>
      </w:r>
      <w:r>
        <w:rPr>
          <w:rFonts w:ascii="Arial" w:hAnsi="Arial" w:cs="Arial"/>
        </w:rPr>
        <w:t>​</w:t>
      </w:r>
      <w:hyperlink r:id="rId29" w:anchor=":~:text=having%20fewer%20than%201%2C000%20students,2017%2C%20then%20Arizona%20Governor%20Doug" w:tgtFrame="_blank" w:history="1">
        <w:r>
          <w:rPr>
            <w:rStyle w:val="max-w-full"/>
            <w:color w:val="0000FF"/>
            <w:u w:val="single"/>
          </w:rPr>
          <w:t>en.wikipedia.org</w:t>
        </w:r>
      </w:hyperlink>
      <w:r w:rsidR="006000D1">
        <w:t>)</w:t>
      </w:r>
      <w:r>
        <w:t>.</w:t>
      </w:r>
    </w:p>
    <w:p w14:paraId="01D17EA5" w14:textId="77777777" w:rsidR="00C505DA" w:rsidRDefault="00C505DA" w:rsidP="00CD155D">
      <w:r>
        <w:t xml:space="preserve">Research on yield influences: campus visits can </w:t>
      </w:r>
      <w:r>
        <w:rPr>
          <w:rStyle w:val="Strong"/>
        </w:rPr>
        <w:t>double</w:t>
      </w:r>
      <w:r>
        <w:t xml:space="preserve"> an </w:t>
      </w:r>
      <w:proofErr w:type="spellStart"/>
      <w:r>
        <w:t>admit’s</w:t>
      </w:r>
      <w:proofErr w:type="spellEnd"/>
      <w:r>
        <w:t xml:space="preserve"> likelihood to enroll, but not all students visit</w:t>
      </w:r>
      <w:r>
        <w:rPr>
          <w:rFonts w:ascii="Arial" w:hAnsi="Arial" w:cs="Arial"/>
        </w:rPr>
        <w:t>​</w:t>
      </w:r>
      <w:r>
        <w:rPr>
          <w:rStyle w:val="max-w-full"/>
        </w:rPr>
        <w:t>file-61s6tjfzxd3b9bdj2psxfu</w:t>
      </w:r>
      <w:r>
        <w:t xml:space="preserve"> – indicating why yield multipliers should be applied selectively.</w:t>
      </w:r>
    </w:p>
    <w:p w14:paraId="5CF43524" w14:textId="77777777" w:rsidR="00C505DA" w:rsidRDefault="00C505DA" w:rsidP="00CD155D">
      <w:r>
        <w:t xml:space="preserve">These evidence-based adjustments ensure the model remains </w:t>
      </w:r>
      <w:r>
        <w:rPr>
          <w:rStyle w:val="Strong"/>
        </w:rPr>
        <w:t>structurally realistic</w:t>
      </w:r>
      <w:r>
        <w:t xml:space="preserve"> while hitting the actual enrollment target. We preserved the funnel steps and simply calibrated the probabilities to reflect current realities for ASU’s market. The result is a more accurate projection tool for freshman enrollment that can still be flexed for scenario </w:t>
      </w:r>
      <w:proofErr w:type="gramStart"/>
      <w:r>
        <w:t>analysis, but</w:t>
      </w:r>
      <w:proofErr w:type="gramEnd"/>
      <w:r>
        <w:t xml:space="preserve"> now anchored to known baseline metrics for 2024.</w:t>
      </w:r>
    </w:p>
    <w:p w14:paraId="76934A80" w14:textId="77777777" w:rsidR="00D04A46" w:rsidRPr="00BB7121" w:rsidRDefault="00D04A46" w:rsidP="00CD155D">
      <w:pPr>
        <w:rPr>
          <w:sz w:val="22"/>
          <w:szCs w:val="22"/>
        </w:rPr>
      </w:pPr>
    </w:p>
    <w:sectPr w:rsidR="00D04A46" w:rsidRPr="00BB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B06A6"/>
    <w:multiLevelType w:val="multilevel"/>
    <w:tmpl w:val="9E4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77AE"/>
    <w:multiLevelType w:val="multilevel"/>
    <w:tmpl w:val="1FA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E1C9D"/>
    <w:multiLevelType w:val="multilevel"/>
    <w:tmpl w:val="F76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B3DE4"/>
    <w:multiLevelType w:val="multilevel"/>
    <w:tmpl w:val="368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552B6"/>
    <w:multiLevelType w:val="multilevel"/>
    <w:tmpl w:val="BDA2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907F7"/>
    <w:multiLevelType w:val="multilevel"/>
    <w:tmpl w:val="5AE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C3F87"/>
    <w:multiLevelType w:val="multilevel"/>
    <w:tmpl w:val="C0A6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0469E"/>
    <w:multiLevelType w:val="multilevel"/>
    <w:tmpl w:val="CF0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91FF4"/>
    <w:multiLevelType w:val="multilevel"/>
    <w:tmpl w:val="364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C4012"/>
    <w:multiLevelType w:val="multilevel"/>
    <w:tmpl w:val="5778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915BE"/>
    <w:multiLevelType w:val="multilevel"/>
    <w:tmpl w:val="7BF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05E64"/>
    <w:multiLevelType w:val="multilevel"/>
    <w:tmpl w:val="D8EA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92961"/>
    <w:multiLevelType w:val="multilevel"/>
    <w:tmpl w:val="527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21A45"/>
    <w:multiLevelType w:val="multilevel"/>
    <w:tmpl w:val="E16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43D73"/>
    <w:multiLevelType w:val="multilevel"/>
    <w:tmpl w:val="6A4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8579E"/>
    <w:multiLevelType w:val="multilevel"/>
    <w:tmpl w:val="356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36A7C"/>
    <w:multiLevelType w:val="multilevel"/>
    <w:tmpl w:val="CF9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C58A8"/>
    <w:multiLevelType w:val="multilevel"/>
    <w:tmpl w:val="D92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235117">
    <w:abstractNumId w:val="10"/>
  </w:num>
  <w:num w:numId="2" w16cid:durableId="445806443">
    <w:abstractNumId w:val="1"/>
  </w:num>
  <w:num w:numId="3" w16cid:durableId="1054815757">
    <w:abstractNumId w:val="0"/>
  </w:num>
  <w:num w:numId="4" w16cid:durableId="892883918">
    <w:abstractNumId w:val="7"/>
  </w:num>
  <w:num w:numId="5" w16cid:durableId="693268876">
    <w:abstractNumId w:val="9"/>
  </w:num>
  <w:num w:numId="6" w16cid:durableId="1731612411">
    <w:abstractNumId w:val="8"/>
  </w:num>
  <w:num w:numId="7" w16cid:durableId="352154894">
    <w:abstractNumId w:val="5"/>
  </w:num>
  <w:num w:numId="8" w16cid:durableId="1585335181">
    <w:abstractNumId w:val="16"/>
  </w:num>
  <w:num w:numId="9" w16cid:durableId="541553712">
    <w:abstractNumId w:val="2"/>
  </w:num>
  <w:num w:numId="10" w16cid:durableId="151071207">
    <w:abstractNumId w:val="3"/>
  </w:num>
  <w:num w:numId="11" w16cid:durableId="575480473">
    <w:abstractNumId w:val="6"/>
  </w:num>
  <w:num w:numId="12" w16cid:durableId="1120302820">
    <w:abstractNumId w:val="17"/>
  </w:num>
  <w:num w:numId="13" w16cid:durableId="273446415">
    <w:abstractNumId w:val="14"/>
  </w:num>
  <w:num w:numId="14" w16cid:durableId="791896796">
    <w:abstractNumId w:val="11"/>
  </w:num>
  <w:num w:numId="15" w16cid:durableId="420031159">
    <w:abstractNumId w:val="13"/>
  </w:num>
  <w:num w:numId="16" w16cid:durableId="196237974">
    <w:abstractNumId w:val="12"/>
  </w:num>
  <w:num w:numId="17" w16cid:durableId="416295628">
    <w:abstractNumId w:val="15"/>
  </w:num>
  <w:num w:numId="18" w16cid:durableId="1766995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86"/>
    <w:rsid w:val="0000240E"/>
    <w:rsid w:val="000029A1"/>
    <w:rsid w:val="000102D2"/>
    <w:rsid w:val="0001134D"/>
    <w:rsid w:val="00016701"/>
    <w:rsid w:val="000266C3"/>
    <w:rsid w:val="00026BF2"/>
    <w:rsid w:val="00030597"/>
    <w:rsid w:val="00050611"/>
    <w:rsid w:val="00053DCB"/>
    <w:rsid w:val="000621BE"/>
    <w:rsid w:val="00071565"/>
    <w:rsid w:val="00075C51"/>
    <w:rsid w:val="00075D7E"/>
    <w:rsid w:val="00076E73"/>
    <w:rsid w:val="00096A01"/>
    <w:rsid w:val="000A5AFB"/>
    <w:rsid w:val="000C1068"/>
    <w:rsid w:val="000C2A70"/>
    <w:rsid w:val="000C4E13"/>
    <w:rsid w:val="000D57D4"/>
    <w:rsid w:val="000F5CF6"/>
    <w:rsid w:val="001076CB"/>
    <w:rsid w:val="001078D7"/>
    <w:rsid w:val="001106F4"/>
    <w:rsid w:val="00113D75"/>
    <w:rsid w:val="00115386"/>
    <w:rsid w:val="00135FBC"/>
    <w:rsid w:val="001400BD"/>
    <w:rsid w:val="00140DE4"/>
    <w:rsid w:val="00157953"/>
    <w:rsid w:val="00165A49"/>
    <w:rsid w:val="00166299"/>
    <w:rsid w:val="0016635A"/>
    <w:rsid w:val="00175269"/>
    <w:rsid w:val="001755D6"/>
    <w:rsid w:val="00180C61"/>
    <w:rsid w:val="00196536"/>
    <w:rsid w:val="001B1FB4"/>
    <w:rsid w:val="001B2139"/>
    <w:rsid w:val="001C4A32"/>
    <w:rsid w:val="001D25C1"/>
    <w:rsid w:val="001D4A59"/>
    <w:rsid w:val="001E61E2"/>
    <w:rsid w:val="001E6F8E"/>
    <w:rsid w:val="001F365D"/>
    <w:rsid w:val="001F7165"/>
    <w:rsid w:val="00201C34"/>
    <w:rsid w:val="002026EF"/>
    <w:rsid w:val="00216CDF"/>
    <w:rsid w:val="002242FB"/>
    <w:rsid w:val="00231D68"/>
    <w:rsid w:val="002358CE"/>
    <w:rsid w:val="00236B03"/>
    <w:rsid w:val="00247BA6"/>
    <w:rsid w:val="00250CB2"/>
    <w:rsid w:val="00250FC8"/>
    <w:rsid w:val="00251635"/>
    <w:rsid w:val="00254A01"/>
    <w:rsid w:val="00255766"/>
    <w:rsid w:val="002615D2"/>
    <w:rsid w:val="00275348"/>
    <w:rsid w:val="0028778B"/>
    <w:rsid w:val="0029598C"/>
    <w:rsid w:val="002A3CBD"/>
    <w:rsid w:val="002A6377"/>
    <w:rsid w:val="002B641D"/>
    <w:rsid w:val="002B6834"/>
    <w:rsid w:val="002C164E"/>
    <w:rsid w:val="002E5E0C"/>
    <w:rsid w:val="002F3F16"/>
    <w:rsid w:val="002F5556"/>
    <w:rsid w:val="002F7C37"/>
    <w:rsid w:val="00300A70"/>
    <w:rsid w:val="00302EFF"/>
    <w:rsid w:val="0030324B"/>
    <w:rsid w:val="00307B5B"/>
    <w:rsid w:val="00321AE6"/>
    <w:rsid w:val="00323E49"/>
    <w:rsid w:val="003420E9"/>
    <w:rsid w:val="00366135"/>
    <w:rsid w:val="00370552"/>
    <w:rsid w:val="00370F27"/>
    <w:rsid w:val="00385E4C"/>
    <w:rsid w:val="00390DEE"/>
    <w:rsid w:val="003977C8"/>
    <w:rsid w:val="003A1F37"/>
    <w:rsid w:val="003A722F"/>
    <w:rsid w:val="003B5957"/>
    <w:rsid w:val="003B727A"/>
    <w:rsid w:val="003C0313"/>
    <w:rsid w:val="003C3EC3"/>
    <w:rsid w:val="003D0D73"/>
    <w:rsid w:val="003D321C"/>
    <w:rsid w:val="003E25E3"/>
    <w:rsid w:val="003E4B2B"/>
    <w:rsid w:val="003E5354"/>
    <w:rsid w:val="003E7509"/>
    <w:rsid w:val="003F524D"/>
    <w:rsid w:val="003F7D55"/>
    <w:rsid w:val="004003E5"/>
    <w:rsid w:val="00410B5B"/>
    <w:rsid w:val="004260AE"/>
    <w:rsid w:val="00427DB9"/>
    <w:rsid w:val="00445114"/>
    <w:rsid w:val="00445723"/>
    <w:rsid w:val="00447D39"/>
    <w:rsid w:val="004502F4"/>
    <w:rsid w:val="00452999"/>
    <w:rsid w:val="00461609"/>
    <w:rsid w:val="00466220"/>
    <w:rsid w:val="004664DF"/>
    <w:rsid w:val="00483BA3"/>
    <w:rsid w:val="0048418E"/>
    <w:rsid w:val="00486FA1"/>
    <w:rsid w:val="004A169A"/>
    <w:rsid w:val="004B27D3"/>
    <w:rsid w:val="004B43C3"/>
    <w:rsid w:val="004C401A"/>
    <w:rsid w:val="004C6646"/>
    <w:rsid w:val="004C7D8C"/>
    <w:rsid w:val="004D70ED"/>
    <w:rsid w:val="004F275E"/>
    <w:rsid w:val="004F4A46"/>
    <w:rsid w:val="004F7380"/>
    <w:rsid w:val="00502465"/>
    <w:rsid w:val="00502677"/>
    <w:rsid w:val="00507ED9"/>
    <w:rsid w:val="005166C0"/>
    <w:rsid w:val="00521576"/>
    <w:rsid w:val="00527680"/>
    <w:rsid w:val="005300DD"/>
    <w:rsid w:val="00533E97"/>
    <w:rsid w:val="0053486E"/>
    <w:rsid w:val="005411F6"/>
    <w:rsid w:val="0056096F"/>
    <w:rsid w:val="00566C79"/>
    <w:rsid w:val="00571DC1"/>
    <w:rsid w:val="00577C8C"/>
    <w:rsid w:val="00587301"/>
    <w:rsid w:val="00593EF6"/>
    <w:rsid w:val="005A439D"/>
    <w:rsid w:val="005A6416"/>
    <w:rsid w:val="005B549C"/>
    <w:rsid w:val="005B74C2"/>
    <w:rsid w:val="005C5B6F"/>
    <w:rsid w:val="005C6CED"/>
    <w:rsid w:val="005D221C"/>
    <w:rsid w:val="005E62C8"/>
    <w:rsid w:val="006000D1"/>
    <w:rsid w:val="006129AC"/>
    <w:rsid w:val="00613D6A"/>
    <w:rsid w:val="0063123F"/>
    <w:rsid w:val="006326DE"/>
    <w:rsid w:val="00636C14"/>
    <w:rsid w:val="0064709F"/>
    <w:rsid w:val="00651CB6"/>
    <w:rsid w:val="00664BE4"/>
    <w:rsid w:val="00666200"/>
    <w:rsid w:val="00670A3E"/>
    <w:rsid w:val="00671026"/>
    <w:rsid w:val="00672DE0"/>
    <w:rsid w:val="00673805"/>
    <w:rsid w:val="00674898"/>
    <w:rsid w:val="00685C58"/>
    <w:rsid w:val="00690A14"/>
    <w:rsid w:val="00690FC7"/>
    <w:rsid w:val="0069248A"/>
    <w:rsid w:val="00692821"/>
    <w:rsid w:val="006B2C51"/>
    <w:rsid w:val="006B6532"/>
    <w:rsid w:val="006B74CB"/>
    <w:rsid w:val="006C4298"/>
    <w:rsid w:val="006C7703"/>
    <w:rsid w:val="006D5DC2"/>
    <w:rsid w:val="006D6CF6"/>
    <w:rsid w:val="006E2112"/>
    <w:rsid w:val="006E5BD6"/>
    <w:rsid w:val="006F1A7B"/>
    <w:rsid w:val="00704DB9"/>
    <w:rsid w:val="007053B3"/>
    <w:rsid w:val="00711FE6"/>
    <w:rsid w:val="00712C84"/>
    <w:rsid w:val="007164DB"/>
    <w:rsid w:val="00717D41"/>
    <w:rsid w:val="007362A7"/>
    <w:rsid w:val="00736D9C"/>
    <w:rsid w:val="007419D0"/>
    <w:rsid w:val="0075050F"/>
    <w:rsid w:val="0075062F"/>
    <w:rsid w:val="0075380C"/>
    <w:rsid w:val="00753C52"/>
    <w:rsid w:val="00775DDF"/>
    <w:rsid w:val="007777CD"/>
    <w:rsid w:val="00777CAE"/>
    <w:rsid w:val="00781B96"/>
    <w:rsid w:val="007963A7"/>
    <w:rsid w:val="007974C0"/>
    <w:rsid w:val="007B383B"/>
    <w:rsid w:val="007C2B59"/>
    <w:rsid w:val="007C57F8"/>
    <w:rsid w:val="007D7536"/>
    <w:rsid w:val="007E79E7"/>
    <w:rsid w:val="007F207C"/>
    <w:rsid w:val="00801B24"/>
    <w:rsid w:val="00802C2B"/>
    <w:rsid w:val="0080411E"/>
    <w:rsid w:val="00835A8A"/>
    <w:rsid w:val="00870D66"/>
    <w:rsid w:val="008858B2"/>
    <w:rsid w:val="00894EB2"/>
    <w:rsid w:val="00895019"/>
    <w:rsid w:val="008A0E30"/>
    <w:rsid w:val="008B5C44"/>
    <w:rsid w:val="008C1230"/>
    <w:rsid w:val="008E5299"/>
    <w:rsid w:val="008E73A0"/>
    <w:rsid w:val="008F06A5"/>
    <w:rsid w:val="008F1360"/>
    <w:rsid w:val="008F7ABA"/>
    <w:rsid w:val="00900811"/>
    <w:rsid w:val="00911101"/>
    <w:rsid w:val="00915414"/>
    <w:rsid w:val="00916F74"/>
    <w:rsid w:val="00923B4F"/>
    <w:rsid w:val="00924513"/>
    <w:rsid w:val="00934D1C"/>
    <w:rsid w:val="009613B8"/>
    <w:rsid w:val="00961940"/>
    <w:rsid w:val="00971069"/>
    <w:rsid w:val="009919FB"/>
    <w:rsid w:val="009A4662"/>
    <w:rsid w:val="009B3898"/>
    <w:rsid w:val="009C32C0"/>
    <w:rsid w:val="009C3D37"/>
    <w:rsid w:val="009C54CF"/>
    <w:rsid w:val="009D03C5"/>
    <w:rsid w:val="009D1107"/>
    <w:rsid w:val="009D7631"/>
    <w:rsid w:val="009D7860"/>
    <w:rsid w:val="009E29DC"/>
    <w:rsid w:val="009E39C5"/>
    <w:rsid w:val="00A04712"/>
    <w:rsid w:val="00A10425"/>
    <w:rsid w:val="00A172F6"/>
    <w:rsid w:val="00A21FA9"/>
    <w:rsid w:val="00A35580"/>
    <w:rsid w:val="00A55D40"/>
    <w:rsid w:val="00A61B3F"/>
    <w:rsid w:val="00A7219C"/>
    <w:rsid w:val="00A7767A"/>
    <w:rsid w:val="00A81894"/>
    <w:rsid w:val="00A842A6"/>
    <w:rsid w:val="00AA4A0F"/>
    <w:rsid w:val="00AB146C"/>
    <w:rsid w:val="00AB16BF"/>
    <w:rsid w:val="00AB78DC"/>
    <w:rsid w:val="00AC2F5D"/>
    <w:rsid w:val="00AC7F4C"/>
    <w:rsid w:val="00AD11EA"/>
    <w:rsid w:val="00AD1942"/>
    <w:rsid w:val="00AD6E0E"/>
    <w:rsid w:val="00AE79E0"/>
    <w:rsid w:val="00AF0941"/>
    <w:rsid w:val="00AF56D2"/>
    <w:rsid w:val="00B001FF"/>
    <w:rsid w:val="00B050BF"/>
    <w:rsid w:val="00B14B9C"/>
    <w:rsid w:val="00B14DE6"/>
    <w:rsid w:val="00B214B5"/>
    <w:rsid w:val="00B22377"/>
    <w:rsid w:val="00B334A5"/>
    <w:rsid w:val="00B377DC"/>
    <w:rsid w:val="00B41EE3"/>
    <w:rsid w:val="00B45E3C"/>
    <w:rsid w:val="00B521AD"/>
    <w:rsid w:val="00B523A9"/>
    <w:rsid w:val="00B57C73"/>
    <w:rsid w:val="00B6117D"/>
    <w:rsid w:val="00B61776"/>
    <w:rsid w:val="00B92955"/>
    <w:rsid w:val="00B932C9"/>
    <w:rsid w:val="00BA2A3F"/>
    <w:rsid w:val="00BA44FE"/>
    <w:rsid w:val="00BA52B2"/>
    <w:rsid w:val="00BA78B8"/>
    <w:rsid w:val="00BB4731"/>
    <w:rsid w:val="00BB53F2"/>
    <w:rsid w:val="00BB7121"/>
    <w:rsid w:val="00BD46E1"/>
    <w:rsid w:val="00BE465E"/>
    <w:rsid w:val="00BE49BD"/>
    <w:rsid w:val="00BF57CB"/>
    <w:rsid w:val="00BF6437"/>
    <w:rsid w:val="00C00291"/>
    <w:rsid w:val="00C071B1"/>
    <w:rsid w:val="00C07273"/>
    <w:rsid w:val="00C110A3"/>
    <w:rsid w:val="00C336C2"/>
    <w:rsid w:val="00C3593A"/>
    <w:rsid w:val="00C363A6"/>
    <w:rsid w:val="00C420A0"/>
    <w:rsid w:val="00C461E6"/>
    <w:rsid w:val="00C505DA"/>
    <w:rsid w:val="00C51B8D"/>
    <w:rsid w:val="00C54ED0"/>
    <w:rsid w:val="00C56FF4"/>
    <w:rsid w:val="00C72A51"/>
    <w:rsid w:val="00C74280"/>
    <w:rsid w:val="00C87193"/>
    <w:rsid w:val="00C9034E"/>
    <w:rsid w:val="00C92B3B"/>
    <w:rsid w:val="00C97488"/>
    <w:rsid w:val="00CA6268"/>
    <w:rsid w:val="00CB073B"/>
    <w:rsid w:val="00CC2C10"/>
    <w:rsid w:val="00CC3E85"/>
    <w:rsid w:val="00CC62E5"/>
    <w:rsid w:val="00CD155D"/>
    <w:rsid w:val="00CD4719"/>
    <w:rsid w:val="00CE51EA"/>
    <w:rsid w:val="00CF4215"/>
    <w:rsid w:val="00CF5298"/>
    <w:rsid w:val="00CF587C"/>
    <w:rsid w:val="00CF5CE4"/>
    <w:rsid w:val="00CF66B7"/>
    <w:rsid w:val="00D04A46"/>
    <w:rsid w:val="00D07F5C"/>
    <w:rsid w:val="00D16918"/>
    <w:rsid w:val="00D239B4"/>
    <w:rsid w:val="00D27DD7"/>
    <w:rsid w:val="00D319E2"/>
    <w:rsid w:val="00D32808"/>
    <w:rsid w:val="00D43819"/>
    <w:rsid w:val="00D52973"/>
    <w:rsid w:val="00D573EB"/>
    <w:rsid w:val="00D612BE"/>
    <w:rsid w:val="00D643B3"/>
    <w:rsid w:val="00D645BA"/>
    <w:rsid w:val="00D71854"/>
    <w:rsid w:val="00D92CF6"/>
    <w:rsid w:val="00DB0BBF"/>
    <w:rsid w:val="00DB4114"/>
    <w:rsid w:val="00DC3E83"/>
    <w:rsid w:val="00DC7ADD"/>
    <w:rsid w:val="00DE25BE"/>
    <w:rsid w:val="00DE459E"/>
    <w:rsid w:val="00DE6DC1"/>
    <w:rsid w:val="00DE6F89"/>
    <w:rsid w:val="00DF5F34"/>
    <w:rsid w:val="00DF6623"/>
    <w:rsid w:val="00E00793"/>
    <w:rsid w:val="00E24F9A"/>
    <w:rsid w:val="00E34979"/>
    <w:rsid w:val="00E44E8B"/>
    <w:rsid w:val="00E51318"/>
    <w:rsid w:val="00E6094C"/>
    <w:rsid w:val="00E650C0"/>
    <w:rsid w:val="00E75BF3"/>
    <w:rsid w:val="00E867D1"/>
    <w:rsid w:val="00EA544C"/>
    <w:rsid w:val="00EA74CC"/>
    <w:rsid w:val="00EC30E6"/>
    <w:rsid w:val="00EC3587"/>
    <w:rsid w:val="00EC63F3"/>
    <w:rsid w:val="00ED3FBC"/>
    <w:rsid w:val="00F00990"/>
    <w:rsid w:val="00F106A3"/>
    <w:rsid w:val="00F1214F"/>
    <w:rsid w:val="00F207CC"/>
    <w:rsid w:val="00F24047"/>
    <w:rsid w:val="00F246EF"/>
    <w:rsid w:val="00F30C69"/>
    <w:rsid w:val="00F3563F"/>
    <w:rsid w:val="00F3584F"/>
    <w:rsid w:val="00F36E9C"/>
    <w:rsid w:val="00F44ADF"/>
    <w:rsid w:val="00F47388"/>
    <w:rsid w:val="00F53320"/>
    <w:rsid w:val="00F54635"/>
    <w:rsid w:val="00F65AF3"/>
    <w:rsid w:val="00F729CD"/>
    <w:rsid w:val="00F750E0"/>
    <w:rsid w:val="00F84EE8"/>
    <w:rsid w:val="00F93852"/>
    <w:rsid w:val="00FA2399"/>
    <w:rsid w:val="00FB62EB"/>
    <w:rsid w:val="00FF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8E631"/>
  <w15:chartTrackingRefBased/>
  <w15:docId w15:val="{330BC12C-A7F4-5D4C-AF23-A17856C9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121"/>
    <w:pPr>
      <w:keepNext/>
      <w:keepLines/>
      <w:spacing w:before="360" w:after="80"/>
      <w:outlineLvl w:val="0"/>
    </w:pPr>
    <w:rPr>
      <w:rFonts w:ascii="Arial" w:eastAsiaTheme="majorEastAsia" w:hAnsi="Arial" w:cs="Arial"/>
      <w:color w:val="0F4761" w:themeColor="accent1" w:themeShade="BF"/>
      <w:sz w:val="36"/>
      <w:szCs w:val="36"/>
    </w:rPr>
  </w:style>
  <w:style w:type="paragraph" w:styleId="Heading2">
    <w:name w:val="heading 2"/>
    <w:basedOn w:val="Normal"/>
    <w:next w:val="Normal"/>
    <w:link w:val="Heading2Char"/>
    <w:uiPriority w:val="9"/>
    <w:unhideWhenUsed/>
    <w:qFormat/>
    <w:rsid w:val="00115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076CB"/>
    <w:pPr>
      <w:spacing w:after="0" w:line="240" w:lineRule="auto"/>
    </w:pPr>
  </w:style>
  <w:style w:type="character" w:customStyle="1" w:styleId="Heading1Char">
    <w:name w:val="Heading 1 Char"/>
    <w:basedOn w:val="DefaultParagraphFont"/>
    <w:link w:val="Heading1"/>
    <w:uiPriority w:val="9"/>
    <w:rsid w:val="00BB7121"/>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115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386"/>
    <w:rPr>
      <w:rFonts w:eastAsiaTheme="majorEastAsia" w:cstheme="majorBidi"/>
      <w:color w:val="272727" w:themeColor="text1" w:themeTint="D8"/>
    </w:rPr>
  </w:style>
  <w:style w:type="paragraph" w:styleId="Title">
    <w:name w:val="Title"/>
    <w:basedOn w:val="Normal"/>
    <w:next w:val="Normal"/>
    <w:link w:val="TitleChar"/>
    <w:uiPriority w:val="10"/>
    <w:qFormat/>
    <w:rsid w:val="00BB7121"/>
    <w:pPr>
      <w:spacing w:after="8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rsid w:val="00BB7121"/>
    <w:rPr>
      <w:rFonts w:ascii="Arial" w:eastAsiaTheme="majorEastAsia" w:hAnsi="Arial" w:cs="Arial"/>
      <w:spacing w:val="-10"/>
      <w:kern w:val="28"/>
      <w:sz w:val="56"/>
      <w:szCs w:val="56"/>
    </w:rPr>
  </w:style>
  <w:style w:type="paragraph" w:styleId="Subtitle">
    <w:name w:val="Subtitle"/>
    <w:basedOn w:val="Normal"/>
    <w:next w:val="Normal"/>
    <w:link w:val="SubtitleChar"/>
    <w:uiPriority w:val="11"/>
    <w:qFormat/>
    <w:rsid w:val="00BB7121"/>
    <w:pPr>
      <w:numPr>
        <w:ilvl w:val="1"/>
      </w:numPr>
    </w:pPr>
    <w:rPr>
      <w:rFonts w:ascii="Arial" w:eastAsiaTheme="majorEastAsia" w:hAnsi="Arial" w:cs="Arial"/>
      <w:color w:val="595959" w:themeColor="text1" w:themeTint="A6"/>
      <w:spacing w:val="15"/>
      <w:sz w:val="28"/>
      <w:szCs w:val="28"/>
    </w:rPr>
  </w:style>
  <w:style w:type="character" w:customStyle="1" w:styleId="SubtitleChar">
    <w:name w:val="Subtitle Char"/>
    <w:basedOn w:val="DefaultParagraphFont"/>
    <w:link w:val="Subtitle"/>
    <w:uiPriority w:val="11"/>
    <w:rsid w:val="00BB7121"/>
    <w:rPr>
      <w:rFonts w:ascii="Arial" w:eastAsiaTheme="majorEastAsia" w:hAnsi="Arial" w:cs="Arial"/>
      <w:color w:val="595959" w:themeColor="text1" w:themeTint="A6"/>
      <w:spacing w:val="15"/>
      <w:sz w:val="28"/>
      <w:szCs w:val="28"/>
    </w:rPr>
  </w:style>
  <w:style w:type="paragraph" w:styleId="Quote">
    <w:name w:val="Quote"/>
    <w:basedOn w:val="Normal"/>
    <w:next w:val="Normal"/>
    <w:link w:val="QuoteChar"/>
    <w:uiPriority w:val="29"/>
    <w:qFormat/>
    <w:rsid w:val="00115386"/>
    <w:pPr>
      <w:spacing w:before="160"/>
      <w:jc w:val="center"/>
    </w:pPr>
    <w:rPr>
      <w:i/>
      <w:iCs/>
      <w:color w:val="404040" w:themeColor="text1" w:themeTint="BF"/>
    </w:rPr>
  </w:style>
  <w:style w:type="character" w:customStyle="1" w:styleId="QuoteChar">
    <w:name w:val="Quote Char"/>
    <w:basedOn w:val="DefaultParagraphFont"/>
    <w:link w:val="Quote"/>
    <w:uiPriority w:val="29"/>
    <w:rsid w:val="00115386"/>
    <w:rPr>
      <w:i/>
      <w:iCs/>
      <w:color w:val="404040" w:themeColor="text1" w:themeTint="BF"/>
    </w:rPr>
  </w:style>
  <w:style w:type="paragraph" w:styleId="ListParagraph">
    <w:name w:val="List Paragraph"/>
    <w:basedOn w:val="Normal"/>
    <w:uiPriority w:val="34"/>
    <w:qFormat/>
    <w:rsid w:val="00115386"/>
    <w:pPr>
      <w:ind w:left="720"/>
      <w:contextualSpacing/>
    </w:pPr>
  </w:style>
  <w:style w:type="character" w:styleId="IntenseEmphasis">
    <w:name w:val="Intense Emphasis"/>
    <w:basedOn w:val="DefaultParagraphFont"/>
    <w:uiPriority w:val="21"/>
    <w:qFormat/>
    <w:rsid w:val="00115386"/>
    <w:rPr>
      <w:i/>
      <w:iCs/>
      <w:color w:val="0F4761" w:themeColor="accent1" w:themeShade="BF"/>
    </w:rPr>
  </w:style>
  <w:style w:type="paragraph" w:styleId="IntenseQuote">
    <w:name w:val="Intense Quote"/>
    <w:basedOn w:val="Normal"/>
    <w:next w:val="Normal"/>
    <w:link w:val="IntenseQuoteChar"/>
    <w:uiPriority w:val="30"/>
    <w:qFormat/>
    <w:rsid w:val="00115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386"/>
    <w:rPr>
      <w:i/>
      <w:iCs/>
      <w:color w:val="0F4761" w:themeColor="accent1" w:themeShade="BF"/>
    </w:rPr>
  </w:style>
  <w:style w:type="character" w:styleId="IntenseReference">
    <w:name w:val="Intense Reference"/>
    <w:basedOn w:val="DefaultParagraphFont"/>
    <w:uiPriority w:val="32"/>
    <w:qFormat/>
    <w:rsid w:val="00115386"/>
    <w:rPr>
      <w:b/>
      <w:bCs/>
      <w:smallCaps/>
      <w:color w:val="0F4761" w:themeColor="accent1" w:themeShade="BF"/>
      <w:spacing w:val="5"/>
    </w:rPr>
  </w:style>
  <w:style w:type="character" w:styleId="Strong">
    <w:name w:val="Strong"/>
    <w:basedOn w:val="DefaultParagraphFont"/>
    <w:uiPriority w:val="22"/>
    <w:qFormat/>
    <w:rsid w:val="00115386"/>
    <w:rPr>
      <w:b/>
      <w:bCs/>
    </w:rPr>
  </w:style>
  <w:style w:type="character" w:customStyle="1" w:styleId="ms-1">
    <w:name w:val="ms-1"/>
    <w:basedOn w:val="DefaultParagraphFont"/>
    <w:rsid w:val="00115386"/>
  </w:style>
  <w:style w:type="character" w:customStyle="1" w:styleId="max-w-full">
    <w:name w:val="max-w-full"/>
    <w:basedOn w:val="DefaultParagraphFont"/>
    <w:rsid w:val="00115386"/>
  </w:style>
  <w:style w:type="character" w:styleId="Emphasis">
    <w:name w:val="Emphasis"/>
    <w:basedOn w:val="DefaultParagraphFont"/>
    <w:uiPriority w:val="20"/>
    <w:qFormat/>
    <w:rsid w:val="00115386"/>
    <w:rPr>
      <w:i/>
      <w:iCs/>
    </w:rPr>
  </w:style>
  <w:style w:type="character" w:styleId="HTMLCode">
    <w:name w:val="HTML Code"/>
    <w:basedOn w:val="DefaultParagraphFont"/>
    <w:uiPriority w:val="99"/>
    <w:semiHidden/>
    <w:unhideWhenUsed/>
    <w:rsid w:val="00C50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09711">
      <w:bodyDiv w:val="1"/>
      <w:marLeft w:val="0"/>
      <w:marRight w:val="0"/>
      <w:marTop w:val="0"/>
      <w:marBottom w:val="0"/>
      <w:divBdr>
        <w:top w:val="none" w:sz="0" w:space="0" w:color="auto"/>
        <w:left w:val="none" w:sz="0" w:space="0" w:color="auto"/>
        <w:bottom w:val="none" w:sz="0" w:space="0" w:color="auto"/>
        <w:right w:val="none" w:sz="0" w:space="0" w:color="auto"/>
      </w:divBdr>
    </w:div>
    <w:div w:id="2045524041">
      <w:bodyDiv w:val="1"/>
      <w:marLeft w:val="0"/>
      <w:marRight w:val="0"/>
      <w:marTop w:val="0"/>
      <w:marBottom w:val="0"/>
      <w:divBdr>
        <w:top w:val="none" w:sz="0" w:space="0" w:color="auto"/>
        <w:left w:val="none" w:sz="0" w:space="0" w:color="auto"/>
        <w:bottom w:val="none" w:sz="0" w:space="0" w:color="auto"/>
        <w:right w:val="none" w:sz="0" w:space="0" w:color="auto"/>
      </w:divBdr>
    </w:div>
    <w:div w:id="20970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izona_State_University" TargetMode="External"/><Relationship Id="rId13" Type="http://schemas.openxmlformats.org/officeDocument/2006/relationships/hyperlink" Target="https://en.wikipedia.org/wiki/Arizona_State_University" TargetMode="External"/><Relationship Id="rId18" Type="http://schemas.openxmlformats.org/officeDocument/2006/relationships/hyperlink" Target="https://en.wikipedia.org/wiki/Arizona_State_University" TargetMode="External"/><Relationship Id="rId26" Type="http://schemas.openxmlformats.org/officeDocument/2006/relationships/hyperlink" Target="https://en.wikipedia.org/wiki/Arizona_State_University" TargetMode="External"/><Relationship Id="rId3" Type="http://schemas.openxmlformats.org/officeDocument/2006/relationships/settings" Target="settings.xml"/><Relationship Id="rId21" Type="http://schemas.openxmlformats.org/officeDocument/2006/relationships/hyperlink" Target="https://en.wikipedia.org/wiki/Arizona_State_University" TargetMode="External"/><Relationship Id="rId7" Type="http://schemas.openxmlformats.org/officeDocument/2006/relationships/hyperlink" Target="https://en.wikipedia.org/wiki/Arizona_State_University" TargetMode="External"/><Relationship Id="rId12" Type="http://schemas.openxmlformats.org/officeDocument/2006/relationships/hyperlink" Target="https://en.wikipedia.org/wiki/Grand_Canyon_University" TargetMode="External"/><Relationship Id="rId17" Type="http://schemas.openxmlformats.org/officeDocument/2006/relationships/hyperlink" Target="https://en.wikipedia.org/wiki/Arizona_State_University" TargetMode="External"/><Relationship Id="rId25" Type="http://schemas.openxmlformats.org/officeDocument/2006/relationships/hyperlink" Target="https://en.wikipedia.org/wiki/Arizona_State_University" TargetMode="External"/><Relationship Id="rId2" Type="http://schemas.openxmlformats.org/officeDocument/2006/relationships/styles" Target="styles.xml"/><Relationship Id="rId16" Type="http://schemas.openxmlformats.org/officeDocument/2006/relationships/hyperlink" Target="https://en.wikipedia.org/wiki/Arizona_State_University" TargetMode="External"/><Relationship Id="rId20" Type="http://schemas.openxmlformats.org/officeDocument/2006/relationships/hyperlink" Target="https://en.wikipedia.org/wiki/Arizona_State_University" TargetMode="External"/><Relationship Id="rId29" Type="http://schemas.openxmlformats.org/officeDocument/2006/relationships/hyperlink" Target="https://en.wikipedia.org/wiki/Grand_Canyon_University" TargetMode="External"/><Relationship Id="rId1" Type="http://schemas.openxmlformats.org/officeDocument/2006/relationships/numbering" Target="numbering.xml"/><Relationship Id="rId6" Type="http://schemas.openxmlformats.org/officeDocument/2006/relationships/hyperlink" Target="https://en.wikipedia.org/wiki/Arizona_State_University" TargetMode="External"/><Relationship Id="rId11" Type="http://schemas.openxmlformats.org/officeDocument/2006/relationships/hyperlink" Target="https://en.wikipedia.org/wiki/Grand_Canyon_University" TargetMode="External"/><Relationship Id="rId24" Type="http://schemas.openxmlformats.org/officeDocument/2006/relationships/hyperlink" Target="https://en.wikipedia.org/wiki/Arizona_State_University" TargetMode="External"/><Relationship Id="rId5" Type="http://schemas.openxmlformats.org/officeDocument/2006/relationships/hyperlink" Target="https://en.wikipedia.org/wiki/Arizona_State_University" TargetMode="External"/><Relationship Id="rId15" Type="http://schemas.openxmlformats.org/officeDocument/2006/relationships/hyperlink" Target="https://en.wikipedia.org/wiki/Arizona_State_University" TargetMode="External"/><Relationship Id="rId23" Type="http://schemas.openxmlformats.org/officeDocument/2006/relationships/hyperlink" Target="https://en.wikipedia.org/wiki/Arizona_State_University" TargetMode="External"/><Relationship Id="rId28" Type="http://schemas.openxmlformats.org/officeDocument/2006/relationships/hyperlink" Target="https://en.wikipedia.org/wiki/Arizona_State_University" TargetMode="External"/><Relationship Id="rId10" Type="http://schemas.openxmlformats.org/officeDocument/2006/relationships/hyperlink" Target="https://en.wikipedia.org/wiki/Arizona_State_University" TargetMode="External"/><Relationship Id="rId19" Type="http://schemas.openxmlformats.org/officeDocument/2006/relationships/hyperlink" Target="https://en.wikipedia.org/wiki/Arizona_State_Univers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rizona_State_University" TargetMode="External"/><Relationship Id="rId14" Type="http://schemas.openxmlformats.org/officeDocument/2006/relationships/hyperlink" Target="https://en.wikipedia.org/wiki/Arizona_State_University" TargetMode="External"/><Relationship Id="rId22" Type="http://schemas.openxmlformats.org/officeDocument/2006/relationships/hyperlink" Target="https://en.wikipedia.org/wiki/Arizona_State_University" TargetMode="External"/><Relationship Id="rId27" Type="http://schemas.openxmlformats.org/officeDocument/2006/relationships/hyperlink" Target="https://en.wikipedia.org/wiki/Arizona_State_Univers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5519</Words>
  <Characters>31462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Maynard</dc:creator>
  <cp:keywords/>
  <dc:description/>
  <cp:lastModifiedBy>Andrew Maynard</cp:lastModifiedBy>
  <cp:revision>25</cp:revision>
  <dcterms:created xsi:type="dcterms:W3CDTF">2025-04-10T16:07:00Z</dcterms:created>
  <dcterms:modified xsi:type="dcterms:W3CDTF">2025-04-10T17:16:00Z</dcterms:modified>
</cp:coreProperties>
</file>