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2298065" cy="1524000"/>
            <wp:effectExtent b="0" l="0" r="0" t="0"/>
            <wp:docPr descr="A blue and black logo&#10;&#10;Description automatically generated" id="11" name="image1.png"/>
            <a:graphic>
              <a:graphicData uri="http://schemas.openxmlformats.org/drawingml/2006/picture">
                <pic:pic>
                  <pic:nvPicPr>
                    <pic:cNvPr descr="A blue and black logo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358.0" w:type="dxa"/>
        <w:jc w:val="left"/>
        <w:tblInd w:w="105.0" w:type="dxa"/>
        <w:tbl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4f81bd" w:space="0" w:sz="4" w:val="single"/>
          <w:insideV w:color="4f81bd" w:space="0" w:sz="4" w:val="single"/>
        </w:tblBorders>
        <w:tblLayout w:type="fixed"/>
        <w:tblLook w:val="0000"/>
      </w:tblPr>
      <w:tblGrid>
        <w:gridCol w:w="10358"/>
        <w:tblGridChange w:id="0">
          <w:tblGrid>
            <w:gridCol w:w="10358"/>
          </w:tblGrid>
        </w:tblGridChange>
      </w:tblGrid>
      <w:tr>
        <w:trPr>
          <w:cantSplit w:val="0"/>
          <w:trHeight w:val="1404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0" w:lineRule="auto"/>
              <w:ind w:right="-620"/>
              <w:jc w:val="center"/>
              <w:rPr>
                <w:sz w:val="80"/>
                <w:szCs w:val="80"/>
              </w:rPr>
            </w:pPr>
            <w:r w:rsidDel="00000000" w:rsidR="00000000" w:rsidRPr="00000000">
              <w:rPr>
                <w:sz w:val="64"/>
                <w:szCs w:val="64"/>
                <w:rtl w:val="0"/>
              </w:rPr>
              <w:t xml:space="preserve">Complementos de Bases de Dados</w:t>
            </w:r>
            <w:r w:rsidDel="00000000" w:rsidR="00000000" w:rsidRPr="00000000">
              <w:rPr>
                <w:sz w:val="80"/>
                <w:szCs w:val="80"/>
                <w:rtl w:val="0"/>
              </w:rPr>
              <w:br w:type="textWrapping"/>
              <w:t xml:space="preserve">2024/2025</w:t>
            </w:r>
          </w:p>
          <w:p w:rsidR="00000000" w:rsidDel="00000000" w:rsidP="00000000" w:rsidRDefault="00000000" w:rsidRPr="00000000" w14:paraId="00000003">
            <w:pPr>
              <w:spacing w:after="0" w:lineRule="auto"/>
              <w:ind w:right="-620"/>
              <w:jc w:val="center"/>
              <w:rPr/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Licenciatura em Engª.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2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after="0" w:lineRule="auto"/>
              <w:ind w:right="-620"/>
              <w:jc w:val="center"/>
              <w:rPr/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Fase Final Relatório Técnico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Turma: LEI-04</w:t>
      </w:r>
    </w:p>
    <w:p w:rsidR="00000000" w:rsidDel="00000000" w:rsidP="00000000" w:rsidRDefault="00000000" w:rsidRPr="00000000" w14:paraId="0000000A">
      <w:pPr>
        <w:spacing w:after="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Horário de Laboratório: Seg. 16:30-18:30</w:t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sz w:val="32"/>
          <w:szCs w:val="32"/>
          <w:rtl w:val="0"/>
        </w:rPr>
        <w:t xml:space="preserve">Docente: Luís Damas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sz w:val="32"/>
          <w:szCs w:val="32"/>
          <w:rtl w:val="0"/>
        </w:rPr>
        <w:t xml:space="preserve">Grupo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sz w:val="32"/>
          <w:szCs w:val="32"/>
          <w:rtl w:val="0"/>
        </w:rPr>
        <w:t xml:space="preserve">Nº202001541, João Morais</w:t>
        <w:br w:type="textWrapping"/>
        <w:t xml:space="preserve">Nº202100067, Lucas Alexandre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Este relatório técnico apresenta o desenvolvimento de um projeto prático para a disciplina de Complementos de Bases de Dados, com o objetivo de aplicar tópicos avançados de administração e modelação de bases de dados. O projeto centra-se na reestruturação do sistema de gestão de dados da empresa </w:t>
      </w: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AdventureWorks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, especializada em material de ciclismo e integrada no grupo </w:t>
      </w: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Adventure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, que se encontra em processo de restruturação organizacional.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Atualmente, a gestão das operações da </w:t>
      </w:r>
      <w:r w:rsidDel="00000000" w:rsidR="00000000" w:rsidRPr="00000000">
        <w:rPr>
          <w:rFonts w:ascii="Calibri" w:cs="Calibri" w:eastAsia="Calibri" w:hAnsi="Calibri"/>
          <w:b w:val="0"/>
          <w:i w:val="1"/>
          <w:sz w:val="22"/>
          <w:szCs w:val="22"/>
          <w:rtl w:val="0"/>
        </w:rPr>
        <w:t xml:space="preserve">AdventureWorks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é realizada por meio de um ERP desatualizado, complementado com ficheiros Excel, o que limita a eficiência, a integração e a escalabilidade dos processos de negócio. Como parte das iniciativas de modernização, foi proposta a implementação de um novo ERP que permita uma gestão centralizada e otimizada de todo o processo de vendas da empresa.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Para suportar o novo ERP, é necessário modelar e integrar uma nova base de dados que consolide os fragmentos de informação extraídos do sistema legado e de aplicações complementares utilizadas até então. Os dados fornecidos, provenientes de diferentes fontes, apresentam-se fracamente relacionados, exigindo um processo de modelação alinhado às boas práticas de normalização e de design de bases de dados, com o objetivo de garantir operações eficientes e escaláveis.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O presente relatório detalha todas as etapas do desenvolvimento do projeto, desde a análise e importação dos dados legados até à criação de um modelo de base de dados relacional, incluindo a definição de layouts, migração de dados e implementação de funcionalidades que respondam aos requisitos propostos.</w:t>
      </w:r>
    </w:p>
    <w:p w:rsidR="00000000" w:rsidDel="00000000" w:rsidP="00000000" w:rsidRDefault="00000000" w:rsidRPr="00000000" w14:paraId="00000014">
      <w:pPr>
        <w:rPr>
          <w:i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Especificação de Requisitos </w:t>
      </w:r>
    </w:p>
    <w:tbl>
      <w:tblPr>
        <w:tblStyle w:val="Table2"/>
        <w:tblW w:w="11062.0" w:type="dxa"/>
        <w:jc w:val="left"/>
        <w:tblInd w:w="-294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710"/>
        <w:gridCol w:w="8930"/>
        <w:gridCol w:w="1422"/>
        <w:tblGridChange w:id="0">
          <w:tblGrid>
            <w:gridCol w:w="710"/>
            <w:gridCol w:w="8930"/>
            <w:gridCol w:w="1422"/>
          </w:tblGrid>
        </w:tblGridChange>
      </w:tblGrid>
      <w:tr>
        <w:trPr>
          <w:cantSplit w:val="0"/>
          <w:trHeight w:val="283" w:hRule="atLeast"/>
          <w:tblHeader w:val="0"/>
        </w:trPr>
        <w:tc>
          <w:tcPr>
            <w:shd w:fill="4f81bd" w:val="clear"/>
            <w:vAlign w:val="center"/>
          </w:tcPr>
          <w:p w:rsidR="00000000" w:rsidDel="00000000" w:rsidP="00000000" w:rsidRDefault="00000000" w:rsidRPr="00000000" w14:paraId="00000016">
            <w:pPr>
              <w:spacing w:after="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ID</w:t>
            </w:r>
          </w:p>
        </w:tc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018">
            <w:pPr>
              <w:spacing w:after="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Implementado </w:t>
              <w:br w:type="textWrapping"/>
              <w:t xml:space="preserve">(S/N)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Criar a base de dados “AdventureWorksLegacy” para importar os dados do sistema antigo.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4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Analisar os dados importados para inferir entidades de negócio e construir o modelo MER.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Organizar produtos em subcategorias e categorias gerais para navegação e filtragem.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Implementar gestão de utilizadores com autenticação por email e senha.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Suportar recuperação de senha via geração de nova senha e envio simulado de e-mail.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Associar uma questão de segurança a cada utilizador para recuperação de senha.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Criar o diagrama MER usando a ferramenta ERD Plus.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Converter o MER em um modelo relacional normalizado até a 3ª Forma Normal.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Determinar o layout da nova base de dados “AdventureWorks” com análise de espaço e uso.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Criar filegroups com especificações de tamanho inicial, crescimento e limite máximo.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Migrar os dados da base “AdventureWorksLegacy” para a nova base “AdventureWorks”.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Garantir que a migração ocorra sem perda de dados.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Desenvolver queries para validar a conformidade da migração.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Implementar stored procedures e functions para apoio à migração e gestão de utilizadores e informação de vendas.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Desenvolver stored procedures para recuperar senha.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Implementar tratamento de erros centralizado, com logs e mensagens amigáveis.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Criar a tabela “dbStatistics” para monitorar o número de registos e espaço ocupado.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Desenvolver a stored procedure “sp_dbstatistics” para manter histórico de estatísticas.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N</w:t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Modelo Relacional (</w:t>
      </w:r>
      <w:r w:rsidDel="00000000" w:rsidR="00000000" w:rsidRPr="00000000">
        <w:rPr>
          <w:i w:val="1"/>
          <w:sz w:val="28"/>
          <w:szCs w:val="28"/>
          <w:rtl w:val="0"/>
        </w:rPr>
        <w:t xml:space="preserve">Modelo de dados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Diagrama do Modelo Entidade Relação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114300" distR="114300">
            <wp:extent cx="6638924" cy="3429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Diagrama do Modelo Relacional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114300" distR="114300">
            <wp:extent cx="6638924" cy="46291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Definição do Layout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Identificação do espaço ocupado por tabela</w:t>
      </w:r>
    </w:p>
    <w:tbl>
      <w:tblPr>
        <w:tblStyle w:val="Table3"/>
        <w:tblW w:w="11056.0" w:type="dxa"/>
        <w:jc w:val="left"/>
        <w:tblInd w:w="-294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2835"/>
        <w:gridCol w:w="3827"/>
        <w:gridCol w:w="4394"/>
        <w:tblGridChange w:id="0">
          <w:tblGrid>
            <w:gridCol w:w="2835"/>
            <w:gridCol w:w="3827"/>
            <w:gridCol w:w="4394"/>
          </w:tblGrid>
        </w:tblGridChange>
      </w:tblGrid>
      <w:tr>
        <w:trPr>
          <w:cantSplit w:val="0"/>
          <w:tblHeader w:val="0"/>
        </w:trPr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0" w:before="0" w:line="259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Nome Tabela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059">
            <w:pPr>
              <w:spacing w:after="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Dimensão do Registo</w:t>
            </w:r>
          </w:p>
        </w:tc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Nº de Registos (inicial/final)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_product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2095Kb</w:t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rPr>
                <w:i w:val="0"/>
                <w:color w:val="000000"/>
              </w:rPr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397/397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_group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24Kb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4/3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_state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65535/53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_user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0/0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397/41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city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6535/336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class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4/3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color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10/9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country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7/6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210/210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638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18485/18484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customerCity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0/18484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customerEducation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0/18484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customerGender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0/18484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customerMarital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0/18484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customerOccupation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0/18484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customerTitle</w:t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0/101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customerUser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0/0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education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5/5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errorLog</w:t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8220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0/0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2/2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5/4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marital</w:t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2/2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119/119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occupation</w:t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5/5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productCategory</w:t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0/258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productClass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0/312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productColor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0/341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productLine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0/380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productModel</w:t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0/397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productSizeRange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0/299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productSizeUnit</w:t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0/253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productStyle</w:t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0/301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productWeigthUnit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0/275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question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0/0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region</w:t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160" w:before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65535/10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sale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61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60398/60398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saleCountry</w:t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0/60398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saleCurrency</w:t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0/60398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saleCustomer</w:t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0/60398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saleProducts</w:t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0/60398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sentEmail</w:t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0/0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sizeRange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11/10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sizeUnit</w:t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2/1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style</w:t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4/3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7/5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userQuestion</w:t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0/0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weigthUnit</w:t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3/2</w:t>
            </w:r>
          </w:p>
        </w:tc>
      </w:tr>
    </w:tbl>
    <w:p w:rsidR="00000000" w:rsidDel="00000000" w:rsidP="00000000" w:rsidRDefault="00000000" w:rsidRPr="00000000" w14:paraId="000000EB">
      <w:pPr>
        <w:rPr>
          <w:i w:val="1"/>
          <w:color w:val="a6a6a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Especificação dos FIlegroups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Não foram criados "filegroups" para além dos default da criação da base de dados.</w:t>
      </w:r>
    </w:p>
    <w:p w:rsidR="00000000" w:rsidDel="00000000" w:rsidP="00000000" w:rsidRDefault="00000000" w:rsidRPr="00000000" w14:paraId="000000EE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Schemas</w:t>
      </w:r>
    </w:p>
    <w:tbl>
      <w:tblPr>
        <w:tblStyle w:val="Table4"/>
        <w:tblW w:w="11057.0" w:type="dxa"/>
        <w:jc w:val="left"/>
        <w:tblInd w:w="-294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3686"/>
        <w:gridCol w:w="7371"/>
        <w:tblGridChange w:id="0">
          <w:tblGrid>
            <w:gridCol w:w="3686"/>
            <w:gridCol w:w="7371"/>
          </w:tblGrid>
        </w:tblGridChange>
      </w:tblGrid>
      <w:tr>
        <w:trPr>
          <w:cantSplit w:val="0"/>
          <w:tblHeader w:val="0"/>
        </w:trPr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after="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Nome</w:t>
            </w:r>
          </w:p>
        </w:tc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after="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Agrega todas as tabelas relacionadas com customers.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security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Agrega todas as tabelas relacionadas com security.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territory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Agrega todas as tabelas relacionadas com territory.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Agrega todas as tabelas relacionadas com currency.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product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Agrega todas as tabelas relacionadas com products.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sales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Agrega todas as tabelas relacionadas com sales.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error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Agrega todas as tabelas relacionadas com error.</w:t>
            </w:r>
          </w:p>
        </w:tc>
      </w:tr>
    </w:tbl>
    <w:p w:rsidR="00000000" w:rsidDel="00000000" w:rsidP="00000000" w:rsidRDefault="00000000" w:rsidRPr="00000000" w14:paraId="000000FF">
      <w:pPr>
        <w:pStyle w:val="Heading1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Verificação da migração de dados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Foram agregados os pontos 5.1 e 5.2.</w:t>
      </w:r>
    </w:p>
    <w:p w:rsidR="00000000" w:rsidDel="00000000" w:rsidP="00000000" w:rsidRDefault="00000000" w:rsidRPr="00000000" w14:paraId="00000101">
      <w:pPr>
        <w:pStyle w:val="Heading1"/>
        <w:rPr/>
      </w:pPr>
      <w:r w:rsidDel="00000000" w:rsidR="00000000" w:rsidRPr="00000000">
        <w:rPr/>
        <w:drawing>
          <wp:inline distB="0" distT="0" distL="114300" distR="114300">
            <wp:extent cx="6645598" cy="4826002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598" cy="4826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0" distT="0" distL="114300" distR="114300">
            <wp:extent cx="1866900" cy="663892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638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772162" cy="3391374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39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numPr>
          <w:ilvl w:val="0"/>
          <w:numId w:val="8"/>
        </w:numPr>
        <w:ind w:left="1080" w:hanging="720"/>
        <w:jc w:val="both"/>
        <w:rPr/>
      </w:pPr>
      <w:r w:rsidDel="00000000" w:rsidR="00000000" w:rsidRPr="00000000">
        <w:rPr>
          <w:rtl w:val="0"/>
        </w:rPr>
        <w:t xml:space="preserve">Programação</w:t>
      </w:r>
    </w:p>
    <w:p w:rsidR="00000000" w:rsidDel="00000000" w:rsidP="00000000" w:rsidRDefault="00000000" w:rsidRPr="00000000" w14:paraId="00000108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Views</w:t>
      </w:r>
    </w:p>
    <w:tbl>
      <w:tblPr>
        <w:tblStyle w:val="Table5"/>
        <w:tblW w:w="11057.0" w:type="dxa"/>
        <w:jc w:val="left"/>
        <w:tblInd w:w="-294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3686"/>
        <w:gridCol w:w="7371"/>
        <w:tblGridChange w:id="0">
          <w:tblGrid>
            <w:gridCol w:w="3686"/>
            <w:gridCol w:w="7371"/>
          </w:tblGrid>
        </w:tblGridChange>
      </w:tblGrid>
      <w:tr>
        <w:trPr>
          <w:cantSplit w:val="0"/>
          <w:tblHeader w:val="0"/>
        </w:trPr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Nome</w:t>
            </w:r>
          </w:p>
        </w:tc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after="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product.CategoriasProdutos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Permite listar as categorias e subcategorias de cada produto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product.ListarProdudos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Lista os produtos</w:t>
            </w:r>
          </w:p>
        </w:tc>
      </w:tr>
    </w:tbl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Não foram desenvolvidas quaisquer funções para a primeira fase.</w:t>
      </w:r>
    </w:p>
    <w:p w:rsidR="00000000" w:rsidDel="00000000" w:rsidP="00000000" w:rsidRDefault="00000000" w:rsidRPr="00000000" w14:paraId="00000112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Stored procedures</w:t>
      </w:r>
    </w:p>
    <w:tbl>
      <w:tblPr>
        <w:tblStyle w:val="Table6"/>
        <w:tblW w:w="11057.0" w:type="dxa"/>
        <w:jc w:val="left"/>
        <w:tblInd w:w="-294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2565"/>
        <w:gridCol w:w="3465"/>
        <w:gridCol w:w="1382"/>
        <w:gridCol w:w="3645"/>
        <w:tblGridChange w:id="0">
          <w:tblGrid>
            <w:gridCol w:w="2565"/>
            <w:gridCol w:w="3465"/>
            <w:gridCol w:w="1382"/>
            <w:gridCol w:w="3645"/>
          </w:tblGrid>
        </w:tblGridChange>
      </w:tblGrid>
      <w:tr>
        <w:trPr>
          <w:cantSplit w:val="0"/>
          <w:trHeight w:val="291" w:hRule="atLeast"/>
          <w:tblHeader w:val="0"/>
        </w:trPr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13">
            <w:pPr>
              <w:spacing w:after="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Nome</w:t>
            </w:r>
          </w:p>
        </w:tc>
        <w:tc>
          <w:tcPr>
            <w:shd w:fill="4f81bd" w:val="clear"/>
            <w:vAlign w:val="center"/>
          </w:tcPr>
          <w:p w:rsidR="00000000" w:rsidDel="00000000" w:rsidP="00000000" w:rsidRDefault="00000000" w:rsidRPr="00000000" w14:paraId="00000114">
            <w:pPr>
              <w:spacing w:after="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Atributos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15">
            <w:pPr>
              <w:spacing w:after="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Requisito</w:t>
            </w:r>
          </w:p>
        </w:tc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59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17">
            <w:pPr>
              <w:jc w:val="both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security.sp_logError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spacing w:after="16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@ErrorMessage nvarchar(4000)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after="160" w:before="0" w:line="276" w:lineRule="auto"/>
              <w:ind w:left="0" w:right="0" w:firstLine="0"/>
              <w:jc w:val="left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@ErrorNumber int</w:t>
            </w:r>
          </w:p>
          <w:p w:rsidR="00000000" w:rsidDel="00000000" w:rsidP="00000000" w:rsidRDefault="00000000" w:rsidRPr="00000000" w14:paraId="0000011A">
            <w:pPr>
              <w:spacing w:after="160" w:before="0" w:line="276" w:lineRule="auto"/>
              <w:ind w:left="0" w:right="0" w:firstLine="0"/>
              <w:jc w:val="left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@ErrorSeverity int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jc w:val="both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jc w:val="both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Permite logar um erro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1E">
            <w:pPr>
              <w:jc w:val="both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security.sp_addUser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spacing w:line="276" w:lineRule="auto"/>
              <w:jc w:val="left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@email char(100)</w:t>
            </w:r>
          </w:p>
          <w:p w:rsidR="00000000" w:rsidDel="00000000" w:rsidP="00000000" w:rsidRDefault="00000000" w:rsidRPr="00000000" w14:paraId="00000120">
            <w:pPr>
              <w:spacing w:line="276" w:lineRule="auto"/>
              <w:jc w:val="left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@password char(100)</w:t>
            </w: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@securityQuestion char(200)</w:t>
            </w:r>
          </w:p>
          <w:p w:rsidR="00000000" w:rsidDel="00000000" w:rsidP="00000000" w:rsidRDefault="00000000" w:rsidRPr="00000000" w14:paraId="00000121">
            <w:pPr>
              <w:spacing w:line="276" w:lineRule="auto"/>
              <w:jc w:val="left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@answer varchar(200)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jc w:val="both"/>
              <w:rPr>
                <w:b w:val="0"/>
                <w:i w:val="0"/>
                <w:color w:val="000000"/>
              </w:rPr>
            </w:pPr>
            <w:r w:rsidDel="00000000" w:rsidR="00000000" w:rsidRPr="00000000">
              <w:rPr>
                <w:b w:val="0"/>
                <w:i w:val="0"/>
                <w:color w:val="000000"/>
                <w:rtl w:val="0"/>
              </w:rPr>
              <w:t xml:space="preserve">Permite criar um user.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2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security.sp_editUser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@email char(100)</w:t>
            </w:r>
          </w:p>
          <w:p w:rsidR="00000000" w:rsidDel="00000000" w:rsidP="00000000" w:rsidRDefault="00000000" w:rsidRPr="00000000" w14:paraId="0000012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@newPassword char(100)</w:t>
              <w:tab/>
              <w:t xml:space="preserve">@newSecurityQuestion char(200) @newAnswer char(200)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Permite atualizar um user.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2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security.sp_removeUser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@email char(100)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Permite apagar um user.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2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security.sp_receivePass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@email char(100)</w:t>
            </w:r>
          </w:p>
          <w:p w:rsidR="00000000" w:rsidDel="00000000" w:rsidP="00000000" w:rsidRDefault="00000000" w:rsidRPr="00000000" w14:paraId="0000012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@securityAnswer char(200)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Permite gerar uma nova palavra-passe para um determinado user.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3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Customer.sp_saleInformation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@orderDate date</w:t>
            </w:r>
          </w:p>
          <w:p w:rsidR="00000000" w:rsidDel="00000000" w:rsidP="00000000" w:rsidRDefault="00000000" w:rsidRPr="00000000" w14:paraId="00000134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@customerID int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160" w:before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i w:val="0"/>
                <w:color w:val="000000"/>
                <w:rtl w:val="0"/>
              </w:rPr>
              <w:t xml:space="preserve">RQ14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Mostrar toda a informação de uma venda de um cliente, pelo identificador do cliente e a data do pedido</w:t>
            </w:r>
          </w:p>
        </w:tc>
      </w:tr>
    </w:tbl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Triggers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Não foram implementados quaisquer triggers para a primeira fase.</w:t>
      </w:r>
    </w:p>
    <w:p w:rsidR="00000000" w:rsidDel="00000000" w:rsidP="00000000" w:rsidRDefault="00000000" w:rsidRPr="00000000" w14:paraId="0000013B">
      <w:pPr>
        <w:pStyle w:val="Heading1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Descrição da Demonstração</w:t>
      </w:r>
    </w:p>
    <w:p w:rsidR="00000000" w:rsidDel="00000000" w:rsidP="00000000" w:rsidRDefault="00000000" w:rsidRPr="00000000" w14:paraId="0000013C">
      <w:pPr>
        <w:pStyle w:val="Heading2"/>
        <w:numPr>
          <w:ilvl w:val="1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Script de demonstração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Criar base de dados legacy;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Importar datasets para a legacy;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Correr script creates.sql;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Correr script populates.sql;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Correr script development.sql;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Correr script queries.sql (opcional);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numPr>
          <w:ilvl w:val="0"/>
          <w:numId w:val="8"/>
        </w:numPr>
        <w:ind w:left="720" w:hanging="360"/>
        <w:rPr>
          <w:color w:val="2e75b5"/>
          <w:sz w:val="32"/>
          <w:szCs w:val="32"/>
        </w:rPr>
      </w:pPr>
      <w:r w:rsidDel="00000000" w:rsidR="00000000" w:rsidRPr="00000000">
        <w:rPr>
          <w:rtl w:val="0"/>
        </w:rPr>
        <w:t xml:space="preserve">Índices</w:t>
      </w:r>
    </w:p>
    <w:p w:rsidR="00000000" w:rsidDel="00000000" w:rsidP="00000000" w:rsidRDefault="00000000" w:rsidRPr="00000000" w14:paraId="00000144">
      <w:pPr>
        <w:pStyle w:val="Heading2"/>
        <w:numPr>
          <w:ilvl w:val="1"/>
          <w:numId w:val="8"/>
        </w:numPr>
        <w:ind w:left="720" w:hanging="360"/>
        <w:rPr>
          <w:color w:val="2e75b5"/>
          <w:sz w:val="26"/>
          <w:szCs w:val="26"/>
        </w:rPr>
      </w:pPr>
      <w:r w:rsidDel="00000000" w:rsidR="00000000" w:rsidRPr="00000000">
        <w:rPr>
          <w:rtl w:val="0"/>
        </w:rPr>
        <w:t xml:space="preserve">Índices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635.0" w:type="dxa"/>
        <w:jc w:val="left"/>
        <w:tblInd w:w="-294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2445"/>
        <w:gridCol w:w="1950"/>
        <w:gridCol w:w="6240"/>
        <w:tblGridChange w:id="0">
          <w:tblGrid>
            <w:gridCol w:w="2445"/>
            <w:gridCol w:w="1950"/>
            <w:gridCol w:w="6240"/>
          </w:tblGrid>
        </w:tblGridChange>
      </w:tblGrid>
      <w:tr>
        <w:trPr>
          <w:cantSplit w:val="0"/>
          <w:trHeight w:val="291" w:hRule="atLeast"/>
          <w:tblHeader w:val="0"/>
        </w:trPr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46">
            <w:pPr>
              <w:spacing w:after="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Designação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47">
            <w:pPr>
              <w:spacing w:after="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Tabela</w:t>
            </w:r>
          </w:p>
        </w:tc>
        <w:tc>
          <w:tcPr>
            <w:shd w:fill="4f81bd" w:val="clear"/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Justificação/Consultas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49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idx_city_state_id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territory.city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Consulta pesquisa de vendas por cidade</w:t>
            </w:r>
          </w:p>
        </w:tc>
      </w:tr>
      <w:tr>
        <w:trPr>
          <w:cantSplit w:val="0"/>
          <w:trHeight w:val="459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4C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idx_state_region_id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territory._state</w:t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Consulta pesquisa de vendas por cidade</w:t>
            </w:r>
          </w:p>
        </w:tc>
      </w:tr>
      <w:tr>
        <w:trPr>
          <w:cantSplit w:val="0"/>
          <w:trHeight w:val="459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4F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idx_region_country_id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territory.region</w:t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Consulta pesquisa de vendas por cidade</w:t>
            </w:r>
          </w:p>
        </w:tc>
      </w:tr>
      <w:tr>
        <w:trPr>
          <w:cantSplit w:val="0"/>
          <w:trHeight w:val="459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52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idx_country_id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territory.country</w:t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Consulta pesquisa de vendas por cidade</w:t>
            </w:r>
          </w:p>
        </w:tc>
      </w:tr>
      <w:tr>
        <w:trPr>
          <w:cantSplit w:val="0"/>
          <w:trHeight w:val="459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55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idx_saleCountry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sales.saleCountry</w:t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Consulta pesquisa de vendas por cidade</w:t>
            </w:r>
          </w:p>
        </w:tc>
      </w:tr>
      <w:tr>
        <w:trPr>
          <w:cantSplit w:val="0"/>
          <w:trHeight w:val="459" w:hRule="atLeast"/>
          <w:tblHeader w:val="0"/>
        </w:trPr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</w:tcPr>
          <w:p w:rsidR="00000000" w:rsidDel="00000000" w:rsidP="00000000" w:rsidRDefault="00000000" w:rsidRPr="00000000" w14:paraId="00000158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idx_sale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sales.sale</w:t>
            </w:r>
          </w:p>
        </w:tc>
        <w:tc>
          <w:tcPr>
            <w:tcMar>
              <w:top w:w="100.0" w:type="dxa"/>
              <w:left w:w="115.0" w:type="dxa"/>
              <w:bottom w:w="10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after="60" w:before="6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Consulta pesquisa de produtos associados a vendas com valor total superior a 1000</w:t>
            </w:r>
          </w:p>
        </w:tc>
      </w:tr>
    </w:tbl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numPr>
          <w:ilvl w:val="1"/>
          <w:numId w:val="8"/>
        </w:numPr>
        <w:ind w:left="720" w:hanging="360"/>
        <w:rPr>
          <w:color w:val="2e75b5"/>
          <w:sz w:val="26"/>
          <w:szCs w:val="26"/>
        </w:rPr>
      </w:pPr>
      <w:r w:rsidDel="00000000" w:rsidR="00000000" w:rsidRPr="00000000">
        <w:rPr>
          <w:rtl w:val="0"/>
        </w:rPr>
        <w:t xml:space="preserve">Otimização e Execução de Consultas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  <w:t xml:space="preserve">Pesquisa de vendas por cidade</w:t>
      </w:r>
    </w:p>
    <w:p w:rsidR="00000000" w:rsidDel="00000000" w:rsidP="00000000" w:rsidRDefault="00000000" w:rsidRPr="00000000" w14:paraId="0000015E">
      <w:pPr>
        <w:ind w:firstLine="360"/>
        <w:rPr>
          <w:i w:val="1"/>
          <w:color w:val="a6a6a6"/>
        </w:rPr>
      </w:pPr>
      <w:r w:rsidDel="00000000" w:rsidR="00000000" w:rsidRPr="00000000">
        <w:rPr>
          <w:i w:val="1"/>
          <w:color w:val="a6a6a6"/>
        </w:rPr>
        <w:drawing>
          <wp:inline distB="114300" distT="114300" distL="114300" distR="114300">
            <wp:extent cx="3838575" cy="16192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firstLine="360"/>
        <w:rPr/>
      </w:pPr>
      <w:r w:rsidDel="00000000" w:rsidR="00000000" w:rsidRPr="00000000">
        <w:rPr>
          <w:rtl w:val="0"/>
        </w:rPr>
        <w:tab/>
        <w:t xml:space="preserve">Pesquisa de produtos associados a vendas com valor total superior a 1000</w:t>
      </w:r>
    </w:p>
    <w:p w:rsidR="00000000" w:rsidDel="00000000" w:rsidP="00000000" w:rsidRDefault="00000000" w:rsidRPr="00000000" w14:paraId="00000160">
      <w:pPr>
        <w:ind w:firstLine="360"/>
        <w:rPr>
          <w:i w:val="1"/>
          <w:color w:val="a6a6a6"/>
        </w:rPr>
      </w:pPr>
      <w:r w:rsidDel="00000000" w:rsidR="00000000" w:rsidRPr="00000000">
        <w:rPr>
          <w:i w:val="1"/>
          <w:color w:val="a6a6a6"/>
        </w:rPr>
        <w:drawing>
          <wp:inline distB="114300" distT="114300" distL="114300" distR="114300">
            <wp:extent cx="3667125" cy="15906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firstLine="360"/>
        <w:rPr/>
      </w:pPr>
      <w:r w:rsidDel="00000000" w:rsidR="00000000" w:rsidRPr="00000000">
        <w:rPr>
          <w:i w:val="1"/>
          <w:color w:val="a6a6a6"/>
          <w:rtl w:val="0"/>
        </w:rPr>
        <w:tab/>
      </w:r>
      <w:r w:rsidDel="00000000" w:rsidR="00000000" w:rsidRPr="00000000">
        <w:rPr>
          <w:rtl w:val="0"/>
        </w:rPr>
        <w:t xml:space="preserve">Número de produtos vendidos por categoria</w:t>
      </w:r>
    </w:p>
    <w:p w:rsidR="00000000" w:rsidDel="00000000" w:rsidP="00000000" w:rsidRDefault="00000000" w:rsidRPr="00000000" w14:paraId="00000162">
      <w:pPr>
        <w:ind w:firstLine="360"/>
        <w:rPr>
          <w:i w:val="1"/>
          <w:color w:val="a6a6a6"/>
        </w:rPr>
      </w:pPr>
      <w:r w:rsidDel="00000000" w:rsidR="00000000" w:rsidRPr="00000000">
        <w:rPr>
          <w:i w:val="1"/>
          <w:color w:val="a6a6a6"/>
        </w:rPr>
        <w:drawing>
          <wp:inline distB="114300" distT="114300" distL="114300" distR="114300">
            <wp:extent cx="3724275" cy="16192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i w:val="1"/>
          <w:color w:val="a6a6a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1"/>
        <w:numPr>
          <w:ilvl w:val="0"/>
          <w:numId w:val="8"/>
        </w:numPr>
        <w:ind w:left="720" w:hanging="360"/>
        <w:rPr>
          <w:color w:val="2e75b5"/>
          <w:sz w:val="32"/>
          <w:szCs w:val="32"/>
        </w:rPr>
      </w:pPr>
      <w:r w:rsidDel="00000000" w:rsidR="00000000" w:rsidRPr="00000000">
        <w:rPr>
          <w:rtl w:val="0"/>
        </w:rPr>
        <w:t xml:space="preserve">Backup e Recuperação</w:t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Para garantir a integridade dos dados e minimizar a perda de informação em caso de falhas, o modelo de recuperação escolhido foi o Completo (Full Recovery Model). Este modelo permite:</w:t>
      </w:r>
    </w:p>
    <w:p w:rsidR="00000000" w:rsidDel="00000000" w:rsidP="00000000" w:rsidRDefault="00000000" w:rsidRPr="00000000" w14:paraId="00000166">
      <w:pPr>
        <w:numPr>
          <w:ilvl w:val="0"/>
          <w:numId w:val="6"/>
        </w:numPr>
        <w:spacing w:after="0" w:afterAutospacing="0" w:before="24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Registar todas as transações no log, permitindo uma recuperação precisa até ao momento exato de uma falha.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spacing w:after="24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Ideal para sistemas críticos onde a perda de dados é inaceitável.</w:t>
      </w:r>
    </w:p>
    <w:p w:rsidR="00000000" w:rsidDel="00000000" w:rsidP="00000000" w:rsidRDefault="00000000" w:rsidRPr="00000000" w14:paraId="00000168">
      <w:pPr>
        <w:pStyle w:val="Heading2"/>
        <w:keepNext w:val="0"/>
        <w:keepLines w:val="0"/>
        <w:ind w:firstLine="360"/>
        <w:rPr>
          <w:sz w:val="28"/>
          <w:szCs w:val="28"/>
        </w:rPr>
      </w:pPr>
      <w:bookmarkStart w:colFirst="0" w:colLast="0" w:name="_mqvkjle4xc4" w:id="2"/>
      <w:bookmarkEnd w:id="2"/>
      <w:r w:rsidDel="00000000" w:rsidR="00000000" w:rsidRPr="00000000">
        <w:rPr>
          <w:sz w:val="28"/>
          <w:szCs w:val="28"/>
          <w:rtl w:val="0"/>
        </w:rPr>
        <w:t xml:space="preserve">9.1. Tipos de Backup e Estratégia de Armazenamento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Para otimizar os tempos de recuperação e o consumo de recursos, propomos uma estratégia combinada de backup integral, diferencial e do log de transações, com uma política de rotação bem definida:</w:t>
      </w:r>
    </w:p>
    <w:p w:rsidR="00000000" w:rsidDel="00000000" w:rsidP="00000000" w:rsidRDefault="00000000" w:rsidRPr="00000000" w14:paraId="0000016A">
      <w:pPr>
        <w:pStyle w:val="Heading3"/>
        <w:keepNext w:val="0"/>
        <w:keepLines w:val="0"/>
        <w:ind w:firstLine="360"/>
        <w:rPr>
          <w:b w:val="0"/>
          <w:color w:val="4f81bd"/>
          <w:sz w:val="26"/>
          <w:szCs w:val="26"/>
        </w:rPr>
      </w:pPr>
      <w:bookmarkStart w:colFirst="0" w:colLast="0" w:name="_pd6z1z8qdg" w:id="3"/>
      <w:bookmarkEnd w:id="3"/>
      <w:r w:rsidDel="00000000" w:rsidR="00000000" w:rsidRPr="00000000">
        <w:rPr>
          <w:b w:val="0"/>
          <w:color w:val="4f81bd"/>
          <w:sz w:val="26"/>
          <w:szCs w:val="26"/>
          <w:rtl w:val="0"/>
        </w:rPr>
        <w:t xml:space="preserve">9.1.1. Backup Integral</w:t>
      </w:r>
    </w:p>
    <w:p w:rsidR="00000000" w:rsidDel="00000000" w:rsidP="00000000" w:rsidRDefault="00000000" w:rsidRPr="00000000" w14:paraId="0000016B">
      <w:pPr>
        <w:numPr>
          <w:ilvl w:val="0"/>
          <w:numId w:val="5"/>
        </w:numPr>
        <w:spacing w:after="0" w:afterAutospacing="0" w:before="24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Periodicidade: Uma vez por semana (domingo à noite).</w:t>
      </w:r>
    </w:p>
    <w:p w:rsidR="00000000" w:rsidDel="00000000" w:rsidP="00000000" w:rsidRDefault="00000000" w:rsidRPr="00000000" w14:paraId="0000016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Objetivo: Criar uma cópia completa dos dados, servindo como base para backups diferenciais e de logs.</w:t>
      </w:r>
    </w:p>
    <w:p w:rsidR="00000000" w:rsidDel="00000000" w:rsidP="00000000" w:rsidRDefault="00000000" w:rsidRPr="00000000" w14:paraId="0000016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Local de Armazenamento:</w:t>
      </w:r>
    </w:p>
    <w:p w:rsidR="00000000" w:rsidDel="00000000" w:rsidP="00000000" w:rsidRDefault="00000000" w:rsidRPr="00000000" w14:paraId="0000016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Armazenamento primário local (servidor dedicado).</w:t>
      </w:r>
    </w:p>
    <w:p w:rsidR="00000000" w:rsidDel="00000000" w:rsidP="00000000" w:rsidRDefault="00000000" w:rsidRPr="00000000" w14:paraId="0000016F">
      <w:pPr>
        <w:numPr>
          <w:ilvl w:val="1"/>
          <w:numId w:val="5"/>
        </w:numPr>
        <w:spacing w:after="240" w:before="0" w:beforeAutospacing="0" w:lineRule="auto"/>
        <w:ind w:left="144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Armazenamento secundário remoto (cloud ou outro datacenter).</w:t>
      </w:r>
    </w:p>
    <w:p w:rsidR="00000000" w:rsidDel="00000000" w:rsidP="00000000" w:rsidRDefault="00000000" w:rsidRPr="00000000" w14:paraId="00000170">
      <w:pPr>
        <w:pStyle w:val="Heading5"/>
        <w:keepNext w:val="0"/>
        <w:keepLines w:val="0"/>
        <w:ind w:firstLine="360"/>
        <w:rPr>
          <w:b w:val="0"/>
          <w:sz w:val="20"/>
          <w:szCs w:val="20"/>
        </w:rPr>
      </w:pPr>
      <w:bookmarkStart w:colFirst="0" w:colLast="0" w:name="_f84ipfq4jtis" w:id="4"/>
      <w:bookmarkEnd w:id="4"/>
      <w:r w:rsidDel="00000000" w:rsidR="00000000" w:rsidRPr="00000000">
        <w:rPr>
          <w:b w:val="0"/>
          <w:color w:val="4f81bd"/>
          <w:sz w:val="26"/>
          <w:szCs w:val="26"/>
          <w:rtl w:val="0"/>
        </w:rPr>
        <w:t xml:space="preserve">9.1.2. Backup Diferencial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3"/>
        </w:numPr>
        <w:spacing w:after="0" w:afterAutospacing="0" w:before="24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Periodicidade: Diariamente (exceto no dia do backup integral).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Objetivo: Capturar apenas as alterações desde o último backup integral, reduzindo o tempo de backup e o espaço necessário.</w:t>
      </w:r>
    </w:p>
    <w:p w:rsidR="00000000" w:rsidDel="00000000" w:rsidP="00000000" w:rsidRDefault="00000000" w:rsidRPr="00000000" w14:paraId="00000173">
      <w:pPr>
        <w:numPr>
          <w:ilvl w:val="0"/>
          <w:numId w:val="3"/>
        </w:numPr>
        <w:spacing w:after="24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Vantagem: Permite uma recuperação rápida ao combinar o último backup integral com o mais recente backup diferencial.</w:t>
      </w:r>
    </w:p>
    <w:p w:rsidR="00000000" w:rsidDel="00000000" w:rsidP="00000000" w:rsidRDefault="00000000" w:rsidRPr="00000000" w14:paraId="00000174">
      <w:pPr>
        <w:pStyle w:val="Heading5"/>
        <w:keepNext w:val="0"/>
        <w:keepLines w:val="0"/>
        <w:ind w:firstLine="360"/>
        <w:rPr>
          <w:b w:val="0"/>
          <w:sz w:val="20"/>
          <w:szCs w:val="20"/>
        </w:rPr>
      </w:pPr>
      <w:bookmarkStart w:colFirst="0" w:colLast="0" w:name="_e6ufr3rm3xfp" w:id="5"/>
      <w:bookmarkEnd w:id="5"/>
      <w:r w:rsidDel="00000000" w:rsidR="00000000" w:rsidRPr="00000000">
        <w:rPr>
          <w:b w:val="0"/>
          <w:color w:val="4f81bd"/>
          <w:sz w:val="26"/>
          <w:szCs w:val="26"/>
          <w:rtl w:val="0"/>
        </w:rPr>
        <w:t xml:space="preserve">9.1.3. Backup do Log de Transações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spacing w:after="0" w:afterAutospacing="0" w:before="24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Periodicidade: A cada 15 minutos durante o horário de operação e a cada hora fora desse horário.</w:t>
      </w:r>
    </w:p>
    <w:p w:rsidR="00000000" w:rsidDel="00000000" w:rsidP="00000000" w:rsidRDefault="00000000" w:rsidRPr="00000000" w14:paraId="0000017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Objetivo: Garantir a possibilidade de recuperação até ao ponto de falha.</w:t>
      </w:r>
    </w:p>
    <w:p w:rsidR="00000000" w:rsidDel="00000000" w:rsidP="00000000" w:rsidRDefault="00000000" w:rsidRPr="00000000" w14:paraId="00000177">
      <w:pPr>
        <w:numPr>
          <w:ilvl w:val="0"/>
          <w:numId w:val="2"/>
        </w:numPr>
        <w:spacing w:after="24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Vantagem: Minimiza a perda de dados em caso de falhas inesperadas.</w:t>
      </w:r>
    </w:p>
    <w:p w:rsidR="00000000" w:rsidDel="00000000" w:rsidP="00000000" w:rsidRDefault="00000000" w:rsidRPr="00000000" w14:paraId="00000178">
      <w:pPr>
        <w:pStyle w:val="Heading5"/>
        <w:keepNext w:val="0"/>
        <w:keepLines w:val="0"/>
        <w:ind w:firstLine="360"/>
        <w:rPr>
          <w:b w:val="0"/>
          <w:sz w:val="20"/>
          <w:szCs w:val="20"/>
        </w:rPr>
      </w:pPr>
      <w:bookmarkStart w:colFirst="0" w:colLast="0" w:name="_nx6518ck5blq" w:id="6"/>
      <w:bookmarkEnd w:id="6"/>
      <w:r w:rsidDel="00000000" w:rsidR="00000000" w:rsidRPr="00000000">
        <w:rPr>
          <w:b w:val="0"/>
          <w:color w:val="4f81bd"/>
          <w:sz w:val="26"/>
          <w:szCs w:val="26"/>
          <w:rtl w:val="0"/>
        </w:rPr>
        <w:t xml:space="preserve">9.1.4. Política de Rotação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9"/>
        </w:numPr>
        <w:spacing w:after="0" w:afterAutospacing="0" w:before="24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Armazenamento local: Retenção de backups integrais e diferenciais por 4 semanas.</w:t>
      </w:r>
    </w:p>
    <w:p w:rsidR="00000000" w:rsidDel="00000000" w:rsidP="00000000" w:rsidRDefault="00000000" w:rsidRPr="00000000" w14:paraId="0000017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Armazenamento remoto: Retenção de backups integrais por 3 meses.</w:t>
      </w:r>
    </w:p>
    <w:p w:rsidR="00000000" w:rsidDel="00000000" w:rsidP="00000000" w:rsidRDefault="00000000" w:rsidRPr="00000000" w14:paraId="0000017B">
      <w:pPr>
        <w:numPr>
          <w:ilvl w:val="0"/>
          <w:numId w:val="9"/>
        </w:numPr>
        <w:spacing w:after="24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Logs de transações: Retenção por 1 semana.</w:t>
      </w:r>
    </w:p>
    <w:p w:rsidR="00000000" w:rsidDel="00000000" w:rsidP="00000000" w:rsidRDefault="00000000" w:rsidRPr="00000000" w14:paraId="0000017C">
      <w:pPr>
        <w:pStyle w:val="Heading4"/>
        <w:keepNext w:val="0"/>
        <w:keepLines w:val="0"/>
        <w:ind w:firstLine="360"/>
        <w:rPr>
          <w:b w:val="0"/>
          <w:sz w:val="22"/>
          <w:szCs w:val="22"/>
        </w:rPr>
      </w:pPr>
      <w:bookmarkStart w:colFirst="0" w:colLast="0" w:name="_h9r3jblrgxxj" w:id="7"/>
      <w:bookmarkEnd w:id="7"/>
      <w:r w:rsidDel="00000000" w:rsidR="00000000" w:rsidRPr="00000000">
        <w:rPr>
          <w:b w:val="0"/>
          <w:color w:val="2e75b5"/>
          <w:sz w:val="28"/>
          <w:szCs w:val="28"/>
          <w:rtl w:val="0"/>
        </w:rPr>
        <w:t xml:space="preserve">9.2. Cenários de Recuperação e Procedimentos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5"/>
        <w:keepNext w:val="0"/>
        <w:keepLines w:val="0"/>
        <w:ind w:firstLine="360"/>
        <w:rPr>
          <w:b w:val="0"/>
          <w:sz w:val="20"/>
          <w:szCs w:val="20"/>
        </w:rPr>
      </w:pPr>
      <w:bookmarkStart w:colFirst="0" w:colLast="0" w:name="_1hxl4ln7wxwa" w:id="8"/>
      <w:bookmarkEnd w:id="8"/>
      <w:r w:rsidDel="00000000" w:rsidR="00000000" w:rsidRPr="00000000">
        <w:rPr>
          <w:b w:val="0"/>
          <w:color w:val="2e75b5"/>
          <w:sz w:val="28"/>
          <w:szCs w:val="28"/>
          <w:rtl w:val="0"/>
        </w:rPr>
        <w:t xml:space="preserve">9.2.</w:t>
      </w:r>
      <w:r w:rsidDel="00000000" w:rsidR="00000000" w:rsidRPr="00000000">
        <w:rPr>
          <w:b w:val="0"/>
          <w:color w:val="4f81bd"/>
          <w:sz w:val="26"/>
          <w:szCs w:val="26"/>
          <w:rtl w:val="0"/>
        </w:rPr>
        <w:t xml:space="preserve">1. Cenário 1: Falha no Disco Principal do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Solução:</w:t>
      </w:r>
    </w:p>
    <w:p w:rsidR="00000000" w:rsidDel="00000000" w:rsidP="00000000" w:rsidRDefault="00000000" w:rsidRPr="00000000" w14:paraId="0000017F">
      <w:pPr>
        <w:numPr>
          <w:ilvl w:val="0"/>
          <w:numId w:val="4"/>
        </w:numPr>
        <w:spacing w:after="0" w:afterAutospacing="0" w:before="24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Restaurar o último backup integral.</w:t>
      </w:r>
    </w:p>
    <w:p w:rsidR="00000000" w:rsidDel="00000000" w:rsidP="00000000" w:rsidRDefault="00000000" w:rsidRPr="00000000" w14:paraId="0000018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Aplicar o backup diferencial mais recente.</w:t>
      </w:r>
    </w:p>
    <w:p w:rsidR="00000000" w:rsidDel="00000000" w:rsidP="00000000" w:rsidRDefault="00000000" w:rsidRPr="00000000" w14:paraId="00000181">
      <w:pPr>
        <w:numPr>
          <w:ilvl w:val="0"/>
          <w:numId w:val="4"/>
        </w:numPr>
        <w:spacing w:after="24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Repor os logs de transações sequencialmente até ao momento da falha.</w:t>
      </w:r>
    </w:p>
    <w:p w:rsidR="00000000" w:rsidDel="00000000" w:rsidP="00000000" w:rsidRDefault="00000000" w:rsidRPr="00000000" w14:paraId="00000182">
      <w:pPr>
        <w:pStyle w:val="Heading5"/>
        <w:keepNext w:val="0"/>
        <w:keepLines w:val="0"/>
        <w:ind w:firstLine="360"/>
        <w:rPr>
          <w:b w:val="0"/>
          <w:sz w:val="20"/>
          <w:szCs w:val="20"/>
        </w:rPr>
      </w:pPr>
      <w:bookmarkStart w:colFirst="0" w:colLast="0" w:name="_sp8jd19q92rh" w:id="9"/>
      <w:bookmarkEnd w:id="9"/>
      <w:r w:rsidDel="00000000" w:rsidR="00000000" w:rsidRPr="00000000">
        <w:rPr>
          <w:b w:val="0"/>
          <w:color w:val="2e75b5"/>
          <w:sz w:val="28"/>
          <w:szCs w:val="28"/>
          <w:rtl w:val="0"/>
        </w:rPr>
        <w:t xml:space="preserve">9.2.</w:t>
      </w:r>
      <w:r w:rsidDel="00000000" w:rsidR="00000000" w:rsidRPr="00000000">
        <w:rPr>
          <w:b w:val="0"/>
          <w:color w:val="4f81bd"/>
          <w:sz w:val="26"/>
          <w:szCs w:val="26"/>
          <w:rtl w:val="0"/>
        </w:rPr>
        <w:t xml:space="preserve">2. Cenário 2: Eliminação Acidental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Solução:</w:t>
      </w:r>
    </w:p>
    <w:p w:rsidR="00000000" w:rsidDel="00000000" w:rsidP="00000000" w:rsidRDefault="00000000" w:rsidRPr="00000000" w14:paraId="00000184">
      <w:pPr>
        <w:numPr>
          <w:ilvl w:val="0"/>
          <w:numId w:val="4"/>
        </w:numPr>
        <w:spacing w:after="0" w:afterAutospacing="0" w:before="24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Identificar o momento da eliminação com base nos logs de transações.</w:t>
      </w:r>
    </w:p>
    <w:p w:rsidR="00000000" w:rsidDel="00000000" w:rsidP="00000000" w:rsidRDefault="00000000" w:rsidRPr="00000000" w14:paraId="0000018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Restaurar o último backup integral numa instância secundária.</w:t>
      </w:r>
    </w:p>
    <w:p w:rsidR="00000000" w:rsidDel="00000000" w:rsidP="00000000" w:rsidRDefault="00000000" w:rsidRPr="00000000" w14:paraId="00000186">
      <w:pPr>
        <w:numPr>
          <w:ilvl w:val="0"/>
          <w:numId w:val="4"/>
        </w:numPr>
        <w:spacing w:after="24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Aplicar os backups diferenciais e logs de transações até ao momento imediatamente anterior à eliminação.</w:t>
      </w:r>
    </w:p>
    <w:p w:rsidR="00000000" w:rsidDel="00000000" w:rsidP="00000000" w:rsidRDefault="00000000" w:rsidRPr="00000000" w14:paraId="00000187">
      <w:pPr>
        <w:pStyle w:val="Heading5"/>
        <w:keepNext w:val="0"/>
        <w:keepLines w:val="0"/>
        <w:ind w:firstLine="360"/>
        <w:rPr>
          <w:b w:val="0"/>
          <w:sz w:val="20"/>
          <w:szCs w:val="20"/>
        </w:rPr>
      </w:pPr>
      <w:bookmarkStart w:colFirst="0" w:colLast="0" w:name="_3vuowxyavzq7" w:id="10"/>
      <w:bookmarkEnd w:id="10"/>
      <w:r w:rsidDel="00000000" w:rsidR="00000000" w:rsidRPr="00000000">
        <w:rPr>
          <w:b w:val="0"/>
          <w:color w:val="2e75b5"/>
          <w:sz w:val="28"/>
          <w:szCs w:val="28"/>
          <w:rtl w:val="0"/>
        </w:rPr>
        <w:t xml:space="preserve">9.2.</w:t>
      </w:r>
      <w:r w:rsidDel="00000000" w:rsidR="00000000" w:rsidRPr="00000000">
        <w:rPr>
          <w:b w:val="0"/>
          <w:color w:val="4f81bd"/>
          <w:sz w:val="26"/>
          <w:szCs w:val="26"/>
          <w:rtl w:val="0"/>
        </w:rPr>
        <w:t xml:space="preserve">3. Cenário 3: Corrupção dos Ficheiros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Solução:</w:t>
      </w:r>
    </w:p>
    <w:p w:rsidR="00000000" w:rsidDel="00000000" w:rsidP="00000000" w:rsidRDefault="00000000" w:rsidRPr="00000000" w14:paraId="00000189">
      <w:pPr>
        <w:numPr>
          <w:ilvl w:val="0"/>
          <w:numId w:val="4"/>
        </w:numPr>
        <w:spacing w:after="0" w:afterAutospacing="0" w:before="24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Substituir os ficheiros corrompidos pelo último backup integral.</w:t>
      </w:r>
    </w:p>
    <w:p w:rsidR="00000000" w:rsidDel="00000000" w:rsidP="00000000" w:rsidRDefault="00000000" w:rsidRPr="00000000" w14:paraId="0000018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Aplicar o backup diferencial mais recente.</w:t>
      </w:r>
    </w:p>
    <w:p w:rsidR="00000000" w:rsidDel="00000000" w:rsidP="00000000" w:rsidRDefault="00000000" w:rsidRPr="00000000" w14:paraId="0000018B">
      <w:pPr>
        <w:numPr>
          <w:ilvl w:val="0"/>
          <w:numId w:val="4"/>
        </w:numPr>
        <w:spacing w:after="24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Repor os logs de transações.</w:t>
      </w:r>
    </w:p>
    <w:p w:rsidR="00000000" w:rsidDel="00000000" w:rsidP="00000000" w:rsidRDefault="00000000" w:rsidRPr="00000000" w14:paraId="0000018C">
      <w:pPr>
        <w:pStyle w:val="Heading4"/>
        <w:keepNext w:val="0"/>
        <w:keepLines w:val="0"/>
        <w:ind w:firstLine="360"/>
        <w:rPr>
          <w:b w:val="0"/>
          <w:color w:val="2e75b5"/>
          <w:sz w:val="28"/>
          <w:szCs w:val="28"/>
        </w:rPr>
      </w:pPr>
      <w:bookmarkStart w:colFirst="0" w:colLast="0" w:name="_79ssack5r9d9" w:id="11"/>
      <w:bookmarkEnd w:id="11"/>
      <w:r w:rsidDel="00000000" w:rsidR="00000000" w:rsidRPr="00000000">
        <w:rPr>
          <w:b w:val="0"/>
          <w:color w:val="2e75b5"/>
          <w:sz w:val="28"/>
          <w:szCs w:val="28"/>
          <w:rtl w:val="0"/>
        </w:rPr>
        <w:t xml:space="preserve">9.3. Otimização do Plano de Backup</w:t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Para as tabelas menos alteradas, como _state, _group, city, country, region, currency e gender:</w:t>
      </w:r>
    </w:p>
    <w:p w:rsidR="00000000" w:rsidDel="00000000" w:rsidP="00000000" w:rsidRDefault="00000000" w:rsidRPr="00000000" w14:paraId="0000018E">
      <w:pPr>
        <w:numPr>
          <w:ilvl w:val="0"/>
          <w:numId w:val="10"/>
        </w:numPr>
        <w:spacing w:after="0" w:afterAutospacing="0" w:before="24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Realizar um backup inicial integral.</w:t>
      </w:r>
    </w:p>
    <w:p w:rsidR="00000000" w:rsidDel="00000000" w:rsidP="00000000" w:rsidRDefault="00000000" w:rsidRPr="00000000" w14:paraId="0000018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Utilizar backups diferenciais apenas quando houver alterações.</w:t>
      </w:r>
    </w:p>
    <w:p w:rsidR="00000000" w:rsidDel="00000000" w:rsidP="00000000" w:rsidRDefault="00000000" w:rsidRPr="00000000" w14:paraId="00000190">
      <w:pPr>
        <w:numPr>
          <w:ilvl w:val="0"/>
          <w:numId w:val="10"/>
        </w:numPr>
        <w:spacing w:after="240" w:before="0" w:beforeAutospacing="0" w:lineRule="auto"/>
        <w:ind w:left="720" w:hanging="360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Programar um novo backup integral destas tabelas a cada 3 meses, salvo alterações significativas.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numPr>
          <w:ilvl w:val="0"/>
          <w:numId w:val="4"/>
        </w:numPr>
        <w:ind w:left="720" w:hanging="360"/>
        <w:rPr>
          <w:color w:val="2e75b5"/>
          <w:sz w:val="32"/>
          <w:szCs w:val="32"/>
        </w:rPr>
      </w:pPr>
      <w:r w:rsidDel="00000000" w:rsidR="00000000" w:rsidRPr="00000000">
        <w:rPr>
          <w:rtl w:val="0"/>
        </w:rPr>
        <w:t xml:space="preserve">Segurança e Controlo de Acessos</w:t>
      </w:r>
    </w:p>
    <w:p w:rsidR="00000000" w:rsidDel="00000000" w:rsidP="00000000" w:rsidRDefault="00000000" w:rsidRPr="00000000" w14:paraId="00000192">
      <w:pPr>
        <w:ind w:left="720" w:firstLine="0"/>
        <w:rPr/>
      </w:pPr>
      <w:r w:rsidDel="00000000" w:rsidR="00000000" w:rsidRPr="00000000">
        <w:rPr>
          <w:rtl w:val="0"/>
        </w:rPr>
        <w:t xml:space="preserve">Foram criados três utilizadores conforme pedido no enunciado.</w:t>
      </w:r>
    </w:p>
    <w:p w:rsidR="00000000" w:rsidDel="00000000" w:rsidP="00000000" w:rsidRDefault="00000000" w:rsidRPr="00000000" w14:paraId="00000193">
      <w:pPr>
        <w:pStyle w:val="Heading2"/>
        <w:numPr>
          <w:ilvl w:val="1"/>
          <w:numId w:val="4"/>
        </w:numPr>
        <w:ind w:left="1440" w:hanging="360"/>
        <w:rPr>
          <w:color w:val="2e75b5"/>
          <w:sz w:val="26"/>
          <w:szCs w:val="26"/>
        </w:rPr>
      </w:pPr>
      <w:r w:rsidDel="00000000" w:rsidR="00000000" w:rsidRPr="00000000">
        <w:rPr>
          <w:rtl w:val="0"/>
        </w:rPr>
        <w:t xml:space="preserve">Níveis de acesso à informação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327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numPr>
          <w:ilvl w:val="1"/>
          <w:numId w:val="4"/>
        </w:numPr>
        <w:ind w:left="1440" w:hanging="360"/>
        <w:rPr>
          <w:color w:val="2e75b5"/>
          <w:sz w:val="26"/>
          <w:szCs w:val="26"/>
        </w:rPr>
      </w:pPr>
      <w:r w:rsidDel="00000000" w:rsidR="00000000" w:rsidRPr="00000000">
        <w:rPr>
          <w:rtl w:val="0"/>
        </w:rPr>
        <w:t xml:space="preserve">Encriptação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4310063" cy="187716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87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568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800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numPr>
          <w:ilvl w:val="0"/>
          <w:numId w:val="4"/>
        </w:numPr>
        <w:ind w:left="720" w:hanging="360"/>
        <w:rPr>
          <w:color w:val="2e75b5"/>
          <w:sz w:val="32"/>
          <w:szCs w:val="32"/>
        </w:rPr>
      </w:pPr>
      <w:r w:rsidDel="00000000" w:rsidR="00000000" w:rsidRPr="00000000">
        <w:rPr>
          <w:rtl w:val="0"/>
        </w:rPr>
        <w:t xml:space="preserve">Controlo de Concorrência</w:t>
      </w:r>
    </w:p>
    <w:p w:rsidR="00000000" w:rsidDel="00000000" w:rsidP="00000000" w:rsidRDefault="00000000" w:rsidRPr="00000000" w14:paraId="000001A7">
      <w:pPr>
        <w:ind w:left="360" w:firstLine="0"/>
        <w:rPr>
          <w:i w:val="1"/>
          <w:color w:val="a6a6a6"/>
        </w:rPr>
      </w:pPr>
      <w:r w:rsidDel="00000000" w:rsidR="00000000" w:rsidRPr="00000000">
        <w:rPr>
          <w:i w:val="1"/>
          <w:color w:val="a6a6a6"/>
        </w:rPr>
        <w:drawing>
          <wp:inline distB="114300" distT="114300" distL="114300" distR="114300">
            <wp:extent cx="6645600" cy="3327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a6a6a6"/>
        </w:rPr>
        <w:drawing>
          <wp:inline distB="114300" distT="114300" distL="114300" distR="114300">
            <wp:extent cx="6645600" cy="2209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a6a6a6"/>
        </w:rPr>
        <w:drawing>
          <wp:inline distB="114300" distT="114300" distL="114300" distR="114300">
            <wp:extent cx="6645600" cy="1130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a6a6a6"/>
        </w:rPr>
        <w:drawing>
          <wp:inline distB="114300" distT="114300" distL="114300" distR="114300">
            <wp:extent cx="6645600" cy="2641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numPr>
          <w:ilvl w:val="0"/>
          <w:numId w:val="4"/>
        </w:numPr>
        <w:ind w:left="720" w:hanging="360"/>
        <w:rPr>
          <w:color w:val="2e75b5"/>
          <w:sz w:val="32"/>
          <w:szCs w:val="32"/>
        </w:rPr>
      </w:pPr>
      <w:r w:rsidDel="00000000" w:rsidR="00000000" w:rsidRPr="00000000">
        <w:rPr>
          <w:rtl w:val="0"/>
        </w:rPr>
        <w:t xml:space="preserve">Descrição da Demonstração</w:t>
      </w:r>
    </w:p>
    <w:p w:rsidR="00000000" w:rsidDel="00000000" w:rsidP="00000000" w:rsidRDefault="00000000" w:rsidRPr="00000000" w14:paraId="000001AA">
      <w:pPr>
        <w:pStyle w:val="Heading2"/>
        <w:numPr>
          <w:ilvl w:val="1"/>
          <w:numId w:val="4"/>
        </w:numPr>
        <w:ind w:left="1440" w:hanging="360"/>
        <w:rPr>
          <w:color w:val="2e75b5"/>
          <w:sz w:val="26"/>
          <w:szCs w:val="26"/>
        </w:rPr>
      </w:pPr>
      <w:r w:rsidDel="00000000" w:rsidR="00000000" w:rsidRPr="00000000">
        <w:rPr>
          <w:rtl w:val="0"/>
        </w:rPr>
        <w:t xml:space="preserve">Script de demonstração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i w:val="1"/>
          <w:color w:val="a6a6a6"/>
          <w:rtl w:val="0"/>
        </w:rPr>
        <w:tab/>
      </w:r>
      <w:r w:rsidDel="00000000" w:rsidR="00000000" w:rsidRPr="00000000">
        <w:rPr>
          <w:rtl w:val="0"/>
        </w:rPr>
        <w:t xml:space="preserve">Execução de scripts:</w:t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creates.sql</w:t>
      </w:r>
    </w:p>
    <w:p w:rsidR="00000000" w:rsidDel="00000000" w:rsidP="00000000" w:rsidRDefault="00000000" w:rsidRPr="00000000" w14:paraId="000001AD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populates.sql</w:t>
      </w:r>
    </w:p>
    <w:p w:rsidR="00000000" w:rsidDel="00000000" w:rsidP="00000000" w:rsidRDefault="00000000" w:rsidRPr="00000000" w14:paraId="000001AE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seguranca.sql</w:t>
      </w:r>
    </w:p>
    <w:p w:rsidR="00000000" w:rsidDel="00000000" w:rsidP="00000000" w:rsidRDefault="00000000" w:rsidRPr="00000000" w14:paraId="000001AF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criptografia.sql</w:t>
      </w:r>
    </w:p>
    <w:p w:rsidR="00000000" w:rsidDel="00000000" w:rsidP="00000000" w:rsidRDefault="00000000" w:rsidRPr="00000000" w14:paraId="000001B0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transactions.sql</w:t>
      </w:r>
    </w:p>
    <w:p w:rsidR="00000000" w:rsidDel="00000000" w:rsidP="00000000" w:rsidRDefault="00000000" w:rsidRPr="00000000" w14:paraId="000001B1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development.sql</w:t>
      </w:r>
    </w:p>
    <w:p w:rsidR="00000000" w:rsidDel="00000000" w:rsidP="00000000" w:rsidRDefault="00000000" w:rsidRPr="00000000" w14:paraId="000001B2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testing.sql</w:t>
      </w:r>
    </w:p>
    <w:p w:rsidR="00000000" w:rsidDel="00000000" w:rsidP="00000000" w:rsidRDefault="00000000" w:rsidRPr="00000000" w14:paraId="000001B3">
      <w:pPr>
        <w:numPr>
          <w:ilvl w:val="0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queries.sql</w:t>
      </w:r>
    </w:p>
    <w:p w:rsidR="00000000" w:rsidDel="00000000" w:rsidP="00000000" w:rsidRDefault="00000000" w:rsidRPr="00000000" w14:paraId="000001B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queries_fase_2.sql</w:t>
      </w:r>
    </w:p>
    <w:p w:rsidR="00000000" w:rsidDel="00000000" w:rsidP="00000000" w:rsidRDefault="00000000" w:rsidRPr="00000000" w14:paraId="000001B5">
      <w:pPr>
        <w:pStyle w:val="Heading1"/>
        <w:numPr>
          <w:ilvl w:val="0"/>
          <w:numId w:val="4"/>
        </w:numPr>
        <w:ind w:left="720" w:hanging="360"/>
        <w:rPr>
          <w:color w:val="2e75b5"/>
          <w:sz w:val="32"/>
          <w:szCs w:val="32"/>
        </w:rPr>
      </w:pPr>
      <w:bookmarkStart w:colFirst="0" w:colLast="0" w:name="_eed0dwt2efd" w:id="12"/>
      <w:bookmarkEnd w:id="12"/>
      <w:r w:rsidDel="00000000" w:rsidR="00000000" w:rsidRPr="00000000">
        <w:rPr>
          <w:rtl w:val="0"/>
        </w:rPr>
        <w:t xml:space="preserve">Conclusões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projeto permitiu aplicar conceitos avançados de modelação e administração de bases de dados no contexto da reestruturação da AdventureWorks e implementação de um novo ERP. Desde a integração e migração de dados legados até à criação de um modelo relacional normalizado, as soluções desenvolvidas garantem eficiência, escalabilidade e suporte às operações empresariais.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Adicionalmente, foi implementada uma estratégia robusta de </w:t>
      </w:r>
      <w:r w:rsidDel="00000000" w:rsidR="00000000" w:rsidRPr="00000000">
        <w:rPr>
          <w:rtl w:val="0"/>
        </w:rPr>
        <w:t xml:space="preserve">backup e recuperação</w:t>
      </w:r>
      <w:r w:rsidDel="00000000" w:rsidR="00000000" w:rsidRPr="00000000">
        <w:rPr>
          <w:rtl w:val="0"/>
        </w:rPr>
        <w:t xml:space="preserve">, que assegura a integridade e disponibilidade dos dados, mesmo em cenários de falha. O controlo de transações e os níveis de isolamento definidos garantem a consistência dos dados em situações de acesso concorrente, enquanto as políticas de encriptação aplicadas reforçam a segurança da informação sensível, como passwords e dados de recuperação.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funcionalidades implementadas, como gestão de utilizadores, monitorização e tratamento de erros, em conjunto com uma abordagem otimizada para a segurança e recuperação de dados, reforçam a confiabilidade e resiliência do sistema. Assim, este projeto demonstra a importância de bases de dados bem projetadas, acompanhadas de boas práticas de administração e segurança, para atender às necessidades de um ambiente empresarial moderno, competitivo e em constante evolução.</w:t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9"/>
      <w:tblW w:w="10137.0" w:type="dxa"/>
      <w:jc w:val="left"/>
      <w:tblInd w:w="105.0" w:type="dxa"/>
      <w:tblBorders>
        <w:top w:color="808080" w:space="0" w:sz="40" w:val="single"/>
        <w:left w:color="808080" w:space="0" w:sz="40" w:val="single"/>
        <w:bottom w:color="808080" w:space="0" w:sz="40" w:val="single"/>
        <w:right w:color="808080" w:space="0" w:sz="40" w:val="single"/>
        <w:insideH w:color="808080" w:space="0" w:sz="40" w:val="single"/>
        <w:insideV w:color="808080" w:space="0" w:sz="40" w:val="single"/>
      </w:tblBorders>
      <w:tblLayout w:type="fixed"/>
      <w:tblLook w:val="0000"/>
    </w:tblPr>
    <w:tblGrid>
      <w:gridCol w:w="4229"/>
      <w:gridCol w:w="2301"/>
      <w:gridCol w:w="3607"/>
      <w:tblGridChange w:id="0">
        <w:tblGrid>
          <w:gridCol w:w="4229"/>
          <w:gridCol w:w="2301"/>
          <w:gridCol w:w="3607"/>
        </w:tblGrid>
      </w:tblGridChange>
    </w:tblGrid>
    <w:tr>
      <w:trPr>
        <w:cantSplit w:val="0"/>
        <w:tblHeader w:val="0"/>
      </w:trPr>
      <w:tc>
        <w:tcPr>
          <w:shd w:fill="ffffff" w:val="clear"/>
          <w:tcMar>
            <w:top w:w="100.0" w:type="dxa"/>
            <w:left w:w="115.0" w:type="dxa"/>
            <w:bottom w:w="10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1BF">
          <w:pPr>
            <w:tabs>
              <w:tab w:val="center" w:leader="none" w:pos="4252"/>
              <w:tab w:val="right" w:leader="none" w:pos="8504"/>
            </w:tabs>
            <w:spacing w:after="0" w:lineRule="auto"/>
            <w:rPr>
              <w:rFonts w:ascii="Times New Roman" w:cs="Times New Roman" w:eastAsia="Times New Roman" w:hAnsi="Times New Roman"/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Ano Letivo 2024/25</w:t>
          </w:r>
        </w:p>
        <w:p w:rsidR="00000000" w:rsidDel="00000000" w:rsidP="00000000" w:rsidRDefault="00000000" w:rsidRPr="00000000" w14:paraId="000001C0">
          <w:pPr>
            <w:tabs>
              <w:tab w:val="center" w:leader="none" w:pos="4252"/>
              <w:tab w:val="right" w:leader="none" w:pos="8504"/>
            </w:tabs>
            <w:spacing w:after="0" w:lineRule="auto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  <w:tcMar>
            <w:top w:w="100.0" w:type="dxa"/>
            <w:left w:w="115.0" w:type="dxa"/>
            <w:bottom w:w="10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1C1">
          <w:pPr>
            <w:tabs>
              <w:tab w:val="center" w:leader="none" w:pos="4252"/>
              <w:tab w:val="right" w:leader="none" w:pos="8504"/>
            </w:tabs>
            <w:spacing w:after="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2">
          <w:pP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  <w:tcMar>
            <w:top w:w="100.0" w:type="dxa"/>
            <w:left w:w="115.0" w:type="dxa"/>
            <w:bottom w:w="10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1C3">
          <w:pPr>
            <w:tabs>
              <w:tab w:val="center" w:leader="none" w:pos="4252"/>
              <w:tab w:val="right" w:leader="none" w:pos="8504"/>
            </w:tabs>
            <w:spacing w:after="0" w:lineRule="auto"/>
            <w:jc w:val="righ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Pág.: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B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/>
    </w:pPr>
    <w:r w:rsidDel="00000000" w:rsidR="00000000" w:rsidRPr="00000000">
      <w:rPr>
        <w:rtl w:val="0"/>
      </w:rPr>
    </w:r>
  </w:p>
  <w:tbl>
    <w:tblPr>
      <w:tblStyle w:val="Table8"/>
      <w:tblW w:w="10137.0" w:type="dxa"/>
      <w:jc w:val="left"/>
      <w:tblInd w:w="68.0" w:type="dxa"/>
      <w:tblBorders>
        <w:top w:color="808080" w:space="0" w:sz="40" w:val="single"/>
        <w:left w:color="808080" w:space="0" w:sz="40" w:val="single"/>
        <w:bottom w:color="808080" w:space="0" w:sz="40" w:val="single"/>
        <w:right w:color="808080" w:space="0" w:sz="40" w:val="single"/>
        <w:insideH w:color="808080" w:space="0" w:sz="40" w:val="single"/>
        <w:insideV w:color="808080" w:space="0" w:sz="40" w:val="single"/>
      </w:tblBorders>
      <w:tblLayout w:type="fixed"/>
      <w:tblLook w:val="0000"/>
    </w:tblPr>
    <w:tblGrid>
      <w:gridCol w:w="10137"/>
      <w:tblGridChange w:id="0">
        <w:tblGrid>
          <w:gridCol w:w="10137"/>
        </w:tblGrid>
      </w:tblGridChange>
    </w:tblGrid>
    <w:tr>
      <w:trPr>
        <w:cantSplit w:val="0"/>
        <w:trHeight w:val="580" w:hRule="atLeast"/>
        <w:tblHeader w:val="0"/>
      </w:trPr>
      <w:tc>
        <w:tcPr>
          <w:shd w:fill="ffffff" w:val="clear"/>
          <w:tcMar>
            <w:top w:w="100.0" w:type="dxa"/>
            <w:left w:w="115.0" w:type="dxa"/>
            <w:bottom w:w="10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1BC">
          <w:pPr>
            <w:tabs>
              <w:tab w:val="center" w:leader="none" w:pos="4252"/>
              <w:tab w:val="right" w:leader="none" w:pos="8504"/>
            </w:tabs>
            <w:spacing w:before="120" w:lineRule="auto"/>
            <w:jc w:val="center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8"/>
              <w:szCs w:val="28"/>
              <w:rtl w:val="0"/>
            </w:rPr>
            <w:t xml:space="preserve">Fase Final Relatório Técnico – Complementos de Bases de Dados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44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7.png"/><Relationship Id="rId22" Type="http://schemas.openxmlformats.org/officeDocument/2006/relationships/image" Target="media/image6.png"/><Relationship Id="rId10" Type="http://schemas.openxmlformats.org/officeDocument/2006/relationships/image" Target="media/image15.png"/><Relationship Id="rId21" Type="http://schemas.openxmlformats.org/officeDocument/2006/relationships/image" Target="media/image2.png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