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4FD64A" w14:textId="77777777" w:rsidR="00F725C1" w:rsidRPr="00F725C1" w:rsidRDefault="00F725C1" w:rsidP="00F725C1">
      <w:pPr>
        <w:rPr>
          <w:b/>
          <w:bCs/>
        </w:rPr>
      </w:pPr>
      <w:r w:rsidRPr="00F725C1">
        <w:rPr>
          <w:b/>
          <w:bCs/>
        </w:rPr>
        <w:t>Descrição do problema</w:t>
      </w:r>
    </w:p>
    <w:p w14:paraId="25DC8C8E" w14:textId="77777777" w:rsidR="00F725C1" w:rsidRPr="00F725C1" w:rsidRDefault="00F725C1" w:rsidP="00F725C1">
      <w:r w:rsidRPr="00F725C1">
        <w:t>O objeto do projeto é o desenvolvimento de uma simulação de um centro de distribuição de produtos. Neste centro de distribuição, os produtos são recebidos no armazém num local de entrega e depois são transportados para os locais onde ficam armazenados. O transporte é efetuado por veículos guiados automaticamente (</w:t>
      </w:r>
      <w:proofErr w:type="spellStart"/>
      <w:r w:rsidRPr="00F725C1">
        <w:t>Automated</w:t>
      </w:r>
      <w:proofErr w:type="spellEnd"/>
      <w:r w:rsidRPr="00F725C1">
        <w:t xml:space="preserve"> </w:t>
      </w:r>
      <w:proofErr w:type="spellStart"/>
      <w:r w:rsidRPr="00F725C1">
        <w:t>Guided</w:t>
      </w:r>
      <w:proofErr w:type="spellEnd"/>
      <w:r w:rsidRPr="00F725C1">
        <w:t xml:space="preserve"> </w:t>
      </w:r>
      <w:proofErr w:type="spellStart"/>
      <w:r w:rsidRPr="00F725C1">
        <w:t>Vehicle</w:t>
      </w:r>
      <w:proofErr w:type="spellEnd"/>
      <w:r w:rsidRPr="00F725C1">
        <w:t xml:space="preserve"> - AGV). A distribuição dos produtos para os locais de venda segue um processo idêntico onde os produtos armazenados são retirados dos seus locais de armazenamento e levados para um local de recolha dentro do armazém.</w:t>
      </w:r>
    </w:p>
    <w:p w14:paraId="1908FBDB" w14:textId="77777777" w:rsidR="00F725C1" w:rsidRPr="00F725C1" w:rsidRDefault="00F725C1" w:rsidP="00F725C1">
      <w:pPr>
        <w:rPr>
          <w:b/>
          <w:bCs/>
        </w:rPr>
      </w:pPr>
      <w:r w:rsidRPr="00F725C1">
        <w:rPr>
          <w:b/>
          <w:bCs/>
        </w:rPr>
        <w:t>Centro de Distribuição</w:t>
      </w:r>
    </w:p>
    <w:p w14:paraId="08B2B2FD" w14:textId="77777777" w:rsidR="00F725C1" w:rsidRPr="00F725C1" w:rsidRDefault="00F725C1" w:rsidP="00F725C1">
      <w:r w:rsidRPr="00F725C1">
        <w:t xml:space="preserve">O armazém do centro de distribuição é um espaço retangular que vai conter todos os elementos da simulação. Este espaço está dividido em posições, onde cada uma delas representa uma área quadrada de 2x2m. Os elementos existentes podem ser locais de armazenamento com prateleiras/estantes para guardar os produtos, veículos que circulam no </w:t>
      </w:r>
      <w:proofErr w:type="spellStart"/>
      <w:r w:rsidRPr="00F725C1">
        <w:t>armazem</w:t>
      </w:r>
      <w:proofErr w:type="spellEnd"/>
      <w:r w:rsidRPr="00F725C1">
        <w:t xml:space="preserve"> ou as paredes que limitam o armazém. Além disso, existem espaços próprios para a carga e descargas dos produtos que o armazém contém e zonas em frentes aos locais de armazenamento internos para depositar e recolher os produtos.</w:t>
      </w:r>
    </w:p>
    <w:p w14:paraId="4A8950C0" w14:textId="77777777" w:rsidR="00F725C1" w:rsidRPr="00F725C1" w:rsidRDefault="00F725C1" w:rsidP="00F725C1">
      <w:pPr>
        <w:rPr>
          <w:b/>
          <w:bCs/>
        </w:rPr>
      </w:pPr>
      <w:r w:rsidRPr="00F725C1">
        <w:rPr>
          <w:b/>
          <w:bCs/>
        </w:rPr>
        <w:t>Produtos</w:t>
      </w:r>
    </w:p>
    <w:p w14:paraId="10EBC279" w14:textId="77777777" w:rsidR="00F725C1" w:rsidRPr="00F725C1" w:rsidRDefault="00F725C1" w:rsidP="00F725C1">
      <w:r w:rsidRPr="00F725C1">
        <w:t>Para esta simulação, os produtos são muito simples caracterizando-se apenas por um nome, um identificador único, o seu peso e o seu tipo.</w:t>
      </w:r>
    </w:p>
    <w:p w14:paraId="3F9064F0" w14:textId="77777777" w:rsidR="00F725C1" w:rsidRPr="00F725C1" w:rsidRDefault="00F725C1" w:rsidP="00F725C1">
      <w:pPr>
        <w:rPr>
          <w:b/>
          <w:bCs/>
        </w:rPr>
      </w:pPr>
      <w:r w:rsidRPr="00F725C1">
        <w:rPr>
          <w:b/>
          <w:bCs/>
        </w:rPr>
        <w:t>Veículos Guiados Automaticamente (AGV)</w:t>
      </w:r>
    </w:p>
    <w:p w14:paraId="217D21E2" w14:textId="77777777" w:rsidR="00F725C1" w:rsidRPr="00F725C1" w:rsidRDefault="00F725C1" w:rsidP="00F725C1">
      <w:r w:rsidRPr="00F725C1">
        <w:t xml:space="preserve">Os veículos AGV são usados no interior do armazém para </w:t>
      </w:r>
      <w:proofErr w:type="spellStart"/>
      <w:r w:rsidRPr="00F725C1">
        <w:t>tranportar</w:t>
      </w:r>
      <w:proofErr w:type="spellEnd"/>
      <w:r w:rsidRPr="00F725C1">
        <w:t xml:space="preserve"> os produtos. Estes veículos seguem caminhos pré-determinados entre o local de recolha e o local de destino do produto ou definem automaticamente o seu percurso entre esses locais. Existem diferentes tipos de veículos com funcionalidades distintas:</w:t>
      </w:r>
    </w:p>
    <w:p w14:paraId="588994A5" w14:textId="77777777" w:rsidR="00F725C1" w:rsidRPr="00F725C1" w:rsidRDefault="00F725C1" w:rsidP="00F725C1">
      <w:pPr>
        <w:numPr>
          <w:ilvl w:val="0"/>
          <w:numId w:val="1"/>
        </w:numPr>
      </w:pPr>
      <w:r w:rsidRPr="00F725C1">
        <w:rPr>
          <w:b/>
          <w:bCs/>
        </w:rPr>
        <w:t>Transportador de Carga Unitária</w:t>
      </w:r>
      <w:r w:rsidRPr="00F725C1">
        <w:t> (</w:t>
      </w:r>
      <w:proofErr w:type="spellStart"/>
      <w:r w:rsidRPr="00F725C1">
        <w:t>Unit</w:t>
      </w:r>
      <w:proofErr w:type="spellEnd"/>
      <w:r w:rsidRPr="00F725C1">
        <w:t xml:space="preserve"> </w:t>
      </w:r>
      <w:proofErr w:type="spellStart"/>
      <w:r w:rsidRPr="00F725C1">
        <w:t>Load</w:t>
      </w:r>
      <w:proofErr w:type="spellEnd"/>
      <w:r w:rsidRPr="00F725C1">
        <w:t xml:space="preserve"> </w:t>
      </w:r>
      <w:proofErr w:type="spellStart"/>
      <w:r w:rsidRPr="00F725C1">
        <w:t>Carrier</w:t>
      </w:r>
      <w:proofErr w:type="spellEnd"/>
      <w:r w:rsidRPr="00F725C1">
        <w:t xml:space="preserve"> - ULC) - É um AGV usado para transportar um único produto. Não tem limites de peso para a carga transportada;</w:t>
      </w:r>
    </w:p>
    <w:p w14:paraId="31186AF7" w14:textId="77777777" w:rsidR="00F725C1" w:rsidRPr="00F725C1" w:rsidRDefault="00F725C1" w:rsidP="00F725C1">
      <w:pPr>
        <w:numPr>
          <w:ilvl w:val="0"/>
          <w:numId w:val="1"/>
        </w:numPr>
      </w:pPr>
      <w:r w:rsidRPr="00F725C1">
        <w:rPr>
          <w:b/>
          <w:bCs/>
        </w:rPr>
        <w:t>Carrinho de Transporte</w:t>
      </w:r>
      <w:r w:rsidRPr="00F725C1">
        <w:t> - Não é um AGV. Destina-se a transportar vários produtos até um limite de peso de 200 Kg e é puxado por um veículo rebocador.</w:t>
      </w:r>
    </w:p>
    <w:p w14:paraId="10CC4439" w14:textId="77777777" w:rsidR="00F725C1" w:rsidRPr="00F725C1" w:rsidRDefault="00F725C1" w:rsidP="00F725C1">
      <w:pPr>
        <w:numPr>
          <w:ilvl w:val="0"/>
          <w:numId w:val="1"/>
        </w:numPr>
      </w:pPr>
      <w:r w:rsidRPr="00F725C1">
        <w:rPr>
          <w:b/>
          <w:bCs/>
        </w:rPr>
        <w:t>Carrinho Guiado Automaticamente</w:t>
      </w:r>
      <w:r w:rsidRPr="00F725C1">
        <w:t> (</w:t>
      </w:r>
      <w:proofErr w:type="spellStart"/>
      <w:r w:rsidRPr="00F725C1">
        <w:t>Automatic</w:t>
      </w:r>
      <w:proofErr w:type="spellEnd"/>
      <w:r w:rsidRPr="00F725C1">
        <w:t xml:space="preserve"> </w:t>
      </w:r>
      <w:proofErr w:type="spellStart"/>
      <w:r w:rsidRPr="00F725C1">
        <w:t>Guided</w:t>
      </w:r>
      <w:proofErr w:type="spellEnd"/>
      <w:r w:rsidRPr="00F725C1">
        <w:t xml:space="preserve"> </w:t>
      </w:r>
      <w:proofErr w:type="spellStart"/>
      <w:r w:rsidRPr="00F725C1">
        <w:t>Card</w:t>
      </w:r>
      <w:proofErr w:type="spellEnd"/>
      <w:r w:rsidRPr="00F725C1">
        <w:t xml:space="preserve"> - AGC) – É um AGV usado para transportar produtos leves; </w:t>
      </w:r>
      <w:proofErr w:type="gramStart"/>
      <w:r w:rsidRPr="00F725C1">
        <w:t>Tem</w:t>
      </w:r>
      <w:proofErr w:type="gramEnd"/>
      <w:r w:rsidRPr="00F725C1">
        <w:t xml:space="preserve"> um limite de peso total de 100 Kg.</w:t>
      </w:r>
    </w:p>
    <w:p w14:paraId="076204EB" w14:textId="77777777" w:rsidR="00F725C1" w:rsidRPr="00F725C1" w:rsidRDefault="00F725C1" w:rsidP="00F725C1">
      <w:pPr>
        <w:numPr>
          <w:ilvl w:val="0"/>
          <w:numId w:val="1"/>
        </w:numPr>
      </w:pPr>
      <w:r w:rsidRPr="00F725C1">
        <w:rPr>
          <w:b/>
          <w:bCs/>
        </w:rPr>
        <w:lastRenderedPageBreak/>
        <w:t>Veículo Rebocador</w:t>
      </w:r>
      <w:r w:rsidRPr="00F725C1">
        <w:t> – É um AGV que não transporta diretamente os produtos. Neste caso, é usado rebocar um carrinho de transporte.</w:t>
      </w:r>
    </w:p>
    <w:p w14:paraId="5663666A" w14:textId="77777777" w:rsidR="00F725C1" w:rsidRPr="00F725C1" w:rsidRDefault="00F725C1" w:rsidP="00F725C1">
      <w:r w:rsidRPr="00F725C1">
        <w:t xml:space="preserve">O movimento dos veículos dentro do armazém faz-se exclusivamente na direção horizontal ou na direção vertical. Qualquer deles se movimenta uma posição por cada passo da simulação, podendo virar ou parar. Todos os </w:t>
      </w:r>
      <w:proofErr w:type="spellStart"/>
      <w:r w:rsidRPr="00F725C1">
        <w:t>veículas</w:t>
      </w:r>
      <w:proofErr w:type="spellEnd"/>
      <w:r w:rsidRPr="00F725C1">
        <w:t xml:space="preserve"> ocupam uma posição do armazém, </w:t>
      </w:r>
      <w:proofErr w:type="gramStart"/>
      <w:r w:rsidRPr="00F725C1">
        <w:t>ou seja</w:t>
      </w:r>
      <w:proofErr w:type="gramEnd"/>
      <w:r w:rsidRPr="00F725C1">
        <w:t xml:space="preserve"> uma área de 2x2 metros.</w:t>
      </w:r>
    </w:p>
    <w:p w14:paraId="3E5CCF71" w14:textId="77777777" w:rsidR="00F725C1" w:rsidRPr="00F725C1" w:rsidRDefault="00F725C1" w:rsidP="00F725C1">
      <w:pPr>
        <w:rPr>
          <w:b/>
          <w:bCs/>
        </w:rPr>
      </w:pPr>
      <w:r w:rsidRPr="00F725C1">
        <w:rPr>
          <w:b/>
          <w:bCs/>
        </w:rPr>
        <w:t>Simulação</w:t>
      </w:r>
    </w:p>
    <w:p w14:paraId="098F0137" w14:textId="77777777" w:rsidR="00F725C1" w:rsidRPr="00F725C1" w:rsidRDefault="00F725C1" w:rsidP="00F725C1">
      <w:r w:rsidRPr="00F725C1">
        <w:t xml:space="preserve">Para esta simulação deve ser definido um armazém. Podem ser depois adicionados veículos e locais de armazenamento ao armazém criado. Durante a simulação, serão entregues produtos que devem ser armazenados. Deve ser feita uma seleção dos </w:t>
      </w:r>
      <w:proofErr w:type="spellStart"/>
      <w:r w:rsidRPr="00F725C1">
        <w:t>veiculos</w:t>
      </w:r>
      <w:proofErr w:type="spellEnd"/>
      <w:r w:rsidRPr="00F725C1">
        <w:t xml:space="preserve"> para transportar os produtos até ao seu local de armazenamento. Da mesma forma, podem ser solicitados vários produtos entre os existentes no armazém. Neste caso, os mesmos veículos podem ser usados para recolher os produtos e deixá-los nos pontos de entrega.</w:t>
      </w:r>
    </w:p>
    <w:p w14:paraId="4E2E4251" w14:textId="77777777" w:rsidR="00F725C1" w:rsidRPr="00F725C1" w:rsidRDefault="00F725C1" w:rsidP="00F725C1">
      <w:r w:rsidRPr="00F725C1">
        <w:t>Para a simulação será necessário definir o armazém com os locais de armazenamento, de entrega e de recolha de produtos e os veículos de transporte. Durante a simulação são entregues produtos para armazenamento e pedidos de recolha de produtos do armazém que devem ser satisfeitos pelos veículos existentes.</w:t>
      </w:r>
    </w:p>
    <w:p w14:paraId="36A5F6C1" w14:textId="77777777" w:rsidR="007D174A" w:rsidRDefault="007D174A"/>
    <w:sectPr w:rsidR="007D174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5EA1091"/>
    <w:multiLevelType w:val="multilevel"/>
    <w:tmpl w:val="5C488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489951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174A"/>
    <w:rsid w:val="00096F9E"/>
    <w:rsid w:val="007D174A"/>
    <w:rsid w:val="00F725C1"/>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E603CAA-C08E-4E28-BBE2-D085522958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pt-PT"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ter"/>
    <w:uiPriority w:val="9"/>
    <w:qFormat/>
    <w:rsid w:val="007D174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ter"/>
    <w:uiPriority w:val="9"/>
    <w:semiHidden/>
    <w:unhideWhenUsed/>
    <w:qFormat/>
    <w:rsid w:val="007D174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ter"/>
    <w:uiPriority w:val="9"/>
    <w:semiHidden/>
    <w:unhideWhenUsed/>
    <w:qFormat/>
    <w:rsid w:val="007D174A"/>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ter"/>
    <w:uiPriority w:val="9"/>
    <w:semiHidden/>
    <w:unhideWhenUsed/>
    <w:qFormat/>
    <w:rsid w:val="007D174A"/>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ter"/>
    <w:uiPriority w:val="9"/>
    <w:semiHidden/>
    <w:unhideWhenUsed/>
    <w:qFormat/>
    <w:rsid w:val="007D174A"/>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ter"/>
    <w:uiPriority w:val="9"/>
    <w:semiHidden/>
    <w:unhideWhenUsed/>
    <w:qFormat/>
    <w:rsid w:val="007D174A"/>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ter"/>
    <w:uiPriority w:val="9"/>
    <w:semiHidden/>
    <w:unhideWhenUsed/>
    <w:qFormat/>
    <w:rsid w:val="007D174A"/>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ter"/>
    <w:uiPriority w:val="9"/>
    <w:semiHidden/>
    <w:unhideWhenUsed/>
    <w:qFormat/>
    <w:rsid w:val="007D174A"/>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ter"/>
    <w:uiPriority w:val="9"/>
    <w:semiHidden/>
    <w:unhideWhenUsed/>
    <w:qFormat/>
    <w:rsid w:val="007D174A"/>
    <w:pPr>
      <w:keepNext/>
      <w:keepLines/>
      <w:spacing w:after="0"/>
      <w:outlineLvl w:val="8"/>
    </w:pPr>
    <w:rPr>
      <w:rFonts w:eastAsiaTheme="majorEastAsia" w:cstheme="majorBidi"/>
      <w:color w:val="272727" w:themeColor="text1" w:themeTint="D8"/>
    </w:rPr>
  </w:style>
  <w:style w:type="character" w:default="1" w:styleId="Tipodeletrapredefinidodopargraf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arter">
    <w:name w:val="Título 1 Caráter"/>
    <w:basedOn w:val="Tipodeletrapredefinidodopargrafo"/>
    <w:link w:val="Ttulo1"/>
    <w:uiPriority w:val="9"/>
    <w:rsid w:val="007D174A"/>
    <w:rPr>
      <w:rFonts w:asciiTheme="majorHAnsi" w:eastAsiaTheme="majorEastAsia" w:hAnsiTheme="majorHAnsi" w:cstheme="majorBidi"/>
      <w:color w:val="0F4761" w:themeColor="accent1" w:themeShade="BF"/>
      <w:sz w:val="40"/>
      <w:szCs w:val="40"/>
    </w:rPr>
  </w:style>
  <w:style w:type="character" w:customStyle="1" w:styleId="Ttulo2Carter">
    <w:name w:val="Título 2 Caráter"/>
    <w:basedOn w:val="Tipodeletrapredefinidodopargrafo"/>
    <w:link w:val="Ttulo2"/>
    <w:uiPriority w:val="9"/>
    <w:semiHidden/>
    <w:rsid w:val="007D174A"/>
    <w:rPr>
      <w:rFonts w:asciiTheme="majorHAnsi" w:eastAsiaTheme="majorEastAsia" w:hAnsiTheme="majorHAnsi" w:cstheme="majorBidi"/>
      <w:color w:val="0F4761" w:themeColor="accent1" w:themeShade="BF"/>
      <w:sz w:val="32"/>
      <w:szCs w:val="32"/>
    </w:rPr>
  </w:style>
  <w:style w:type="character" w:customStyle="1" w:styleId="Ttulo3Carter">
    <w:name w:val="Título 3 Caráter"/>
    <w:basedOn w:val="Tipodeletrapredefinidodopargrafo"/>
    <w:link w:val="Ttulo3"/>
    <w:uiPriority w:val="9"/>
    <w:semiHidden/>
    <w:rsid w:val="007D174A"/>
    <w:rPr>
      <w:rFonts w:eastAsiaTheme="majorEastAsia" w:cstheme="majorBidi"/>
      <w:color w:val="0F4761" w:themeColor="accent1" w:themeShade="BF"/>
      <w:sz w:val="28"/>
      <w:szCs w:val="28"/>
    </w:rPr>
  </w:style>
  <w:style w:type="character" w:customStyle="1" w:styleId="Ttulo4Carter">
    <w:name w:val="Título 4 Caráter"/>
    <w:basedOn w:val="Tipodeletrapredefinidodopargrafo"/>
    <w:link w:val="Ttulo4"/>
    <w:uiPriority w:val="9"/>
    <w:semiHidden/>
    <w:rsid w:val="007D174A"/>
    <w:rPr>
      <w:rFonts w:eastAsiaTheme="majorEastAsia" w:cstheme="majorBidi"/>
      <w:i/>
      <w:iCs/>
      <w:color w:val="0F4761" w:themeColor="accent1" w:themeShade="BF"/>
    </w:rPr>
  </w:style>
  <w:style w:type="character" w:customStyle="1" w:styleId="Ttulo5Carter">
    <w:name w:val="Título 5 Caráter"/>
    <w:basedOn w:val="Tipodeletrapredefinidodopargrafo"/>
    <w:link w:val="Ttulo5"/>
    <w:uiPriority w:val="9"/>
    <w:semiHidden/>
    <w:rsid w:val="007D174A"/>
    <w:rPr>
      <w:rFonts w:eastAsiaTheme="majorEastAsia" w:cstheme="majorBidi"/>
      <w:color w:val="0F4761" w:themeColor="accent1" w:themeShade="BF"/>
    </w:rPr>
  </w:style>
  <w:style w:type="character" w:customStyle="1" w:styleId="Ttulo6Carter">
    <w:name w:val="Título 6 Caráter"/>
    <w:basedOn w:val="Tipodeletrapredefinidodopargrafo"/>
    <w:link w:val="Ttulo6"/>
    <w:uiPriority w:val="9"/>
    <w:semiHidden/>
    <w:rsid w:val="007D174A"/>
    <w:rPr>
      <w:rFonts w:eastAsiaTheme="majorEastAsia" w:cstheme="majorBidi"/>
      <w:i/>
      <w:iCs/>
      <w:color w:val="595959" w:themeColor="text1" w:themeTint="A6"/>
    </w:rPr>
  </w:style>
  <w:style w:type="character" w:customStyle="1" w:styleId="Ttulo7Carter">
    <w:name w:val="Título 7 Caráter"/>
    <w:basedOn w:val="Tipodeletrapredefinidodopargrafo"/>
    <w:link w:val="Ttulo7"/>
    <w:uiPriority w:val="9"/>
    <w:semiHidden/>
    <w:rsid w:val="007D174A"/>
    <w:rPr>
      <w:rFonts w:eastAsiaTheme="majorEastAsia" w:cstheme="majorBidi"/>
      <w:color w:val="595959" w:themeColor="text1" w:themeTint="A6"/>
    </w:rPr>
  </w:style>
  <w:style w:type="character" w:customStyle="1" w:styleId="Ttulo8Carter">
    <w:name w:val="Título 8 Caráter"/>
    <w:basedOn w:val="Tipodeletrapredefinidodopargrafo"/>
    <w:link w:val="Ttulo8"/>
    <w:uiPriority w:val="9"/>
    <w:semiHidden/>
    <w:rsid w:val="007D174A"/>
    <w:rPr>
      <w:rFonts w:eastAsiaTheme="majorEastAsia" w:cstheme="majorBidi"/>
      <w:i/>
      <w:iCs/>
      <w:color w:val="272727" w:themeColor="text1" w:themeTint="D8"/>
    </w:rPr>
  </w:style>
  <w:style w:type="character" w:customStyle="1" w:styleId="Ttulo9Carter">
    <w:name w:val="Título 9 Caráter"/>
    <w:basedOn w:val="Tipodeletrapredefinidodopargrafo"/>
    <w:link w:val="Ttulo9"/>
    <w:uiPriority w:val="9"/>
    <w:semiHidden/>
    <w:rsid w:val="007D174A"/>
    <w:rPr>
      <w:rFonts w:eastAsiaTheme="majorEastAsia" w:cstheme="majorBidi"/>
      <w:color w:val="272727" w:themeColor="text1" w:themeTint="D8"/>
    </w:rPr>
  </w:style>
  <w:style w:type="paragraph" w:styleId="Ttulo">
    <w:name w:val="Title"/>
    <w:basedOn w:val="Normal"/>
    <w:next w:val="Normal"/>
    <w:link w:val="TtuloCarter"/>
    <w:uiPriority w:val="10"/>
    <w:qFormat/>
    <w:rsid w:val="007D174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ter">
    <w:name w:val="Título Caráter"/>
    <w:basedOn w:val="Tipodeletrapredefinidodopargrafo"/>
    <w:link w:val="Ttulo"/>
    <w:uiPriority w:val="10"/>
    <w:rsid w:val="007D174A"/>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ter"/>
    <w:uiPriority w:val="11"/>
    <w:qFormat/>
    <w:rsid w:val="007D174A"/>
    <w:pPr>
      <w:numPr>
        <w:ilvl w:val="1"/>
      </w:numPr>
    </w:pPr>
    <w:rPr>
      <w:rFonts w:eastAsiaTheme="majorEastAsia" w:cstheme="majorBidi"/>
      <w:color w:val="595959" w:themeColor="text1" w:themeTint="A6"/>
      <w:spacing w:val="15"/>
      <w:sz w:val="28"/>
      <w:szCs w:val="28"/>
    </w:rPr>
  </w:style>
  <w:style w:type="character" w:customStyle="1" w:styleId="SubttuloCarter">
    <w:name w:val="Subtítulo Caráter"/>
    <w:basedOn w:val="Tipodeletrapredefinidodopargrafo"/>
    <w:link w:val="Subttulo"/>
    <w:uiPriority w:val="11"/>
    <w:rsid w:val="007D174A"/>
    <w:rPr>
      <w:rFonts w:eastAsiaTheme="majorEastAsia" w:cstheme="majorBidi"/>
      <w:color w:val="595959" w:themeColor="text1" w:themeTint="A6"/>
      <w:spacing w:val="15"/>
      <w:sz w:val="28"/>
      <w:szCs w:val="28"/>
    </w:rPr>
  </w:style>
  <w:style w:type="paragraph" w:styleId="Citao">
    <w:name w:val="Quote"/>
    <w:basedOn w:val="Normal"/>
    <w:next w:val="Normal"/>
    <w:link w:val="CitaoCarter"/>
    <w:uiPriority w:val="29"/>
    <w:qFormat/>
    <w:rsid w:val="007D174A"/>
    <w:pPr>
      <w:spacing w:before="160"/>
      <w:jc w:val="center"/>
    </w:pPr>
    <w:rPr>
      <w:i/>
      <w:iCs/>
      <w:color w:val="404040" w:themeColor="text1" w:themeTint="BF"/>
    </w:rPr>
  </w:style>
  <w:style w:type="character" w:customStyle="1" w:styleId="CitaoCarter">
    <w:name w:val="Citação Caráter"/>
    <w:basedOn w:val="Tipodeletrapredefinidodopargrafo"/>
    <w:link w:val="Citao"/>
    <w:uiPriority w:val="29"/>
    <w:rsid w:val="007D174A"/>
    <w:rPr>
      <w:i/>
      <w:iCs/>
      <w:color w:val="404040" w:themeColor="text1" w:themeTint="BF"/>
    </w:rPr>
  </w:style>
  <w:style w:type="paragraph" w:styleId="PargrafodaLista">
    <w:name w:val="List Paragraph"/>
    <w:basedOn w:val="Normal"/>
    <w:uiPriority w:val="34"/>
    <w:qFormat/>
    <w:rsid w:val="007D174A"/>
    <w:pPr>
      <w:ind w:left="720"/>
      <w:contextualSpacing/>
    </w:pPr>
  </w:style>
  <w:style w:type="character" w:styleId="nfaseIntensa">
    <w:name w:val="Intense Emphasis"/>
    <w:basedOn w:val="Tipodeletrapredefinidodopargrafo"/>
    <w:uiPriority w:val="21"/>
    <w:qFormat/>
    <w:rsid w:val="007D174A"/>
    <w:rPr>
      <w:i/>
      <w:iCs/>
      <w:color w:val="0F4761" w:themeColor="accent1" w:themeShade="BF"/>
    </w:rPr>
  </w:style>
  <w:style w:type="paragraph" w:styleId="CitaoIntensa">
    <w:name w:val="Intense Quote"/>
    <w:basedOn w:val="Normal"/>
    <w:next w:val="Normal"/>
    <w:link w:val="CitaoIntensaCarter"/>
    <w:uiPriority w:val="30"/>
    <w:qFormat/>
    <w:rsid w:val="007D174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arter">
    <w:name w:val="Citação Intensa Caráter"/>
    <w:basedOn w:val="Tipodeletrapredefinidodopargrafo"/>
    <w:link w:val="CitaoIntensa"/>
    <w:uiPriority w:val="30"/>
    <w:rsid w:val="007D174A"/>
    <w:rPr>
      <w:i/>
      <w:iCs/>
      <w:color w:val="0F4761" w:themeColor="accent1" w:themeShade="BF"/>
    </w:rPr>
  </w:style>
  <w:style w:type="character" w:styleId="RefernciaIntensa">
    <w:name w:val="Intense Reference"/>
    <w:basedOn w:val="Tipodeletrapredefinidodopargrafo"/>
    <w:uiPriority w:val="32"/>
    <w:qFormat/>
    <w:rsid w:val="007D174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1567259">
      <w:bodyDiv w:val="1"/>
      <w:marLeft w:val="0"/>
      <w:marRight w:val="0"/>
      <w:marTop w:val="0"/>
      <w:marBottom w:val="0"/>
      <w:divBdr>
        <w:top w:val="none" w:sz="0" w:space="0" w:color="auto"/>
        <w:left w:val="none" w:sz="0" w:space="0" w:color="auto"/>
        <w:bottom w:val="none" w:sz="0" w:space="0" w:color="auto"/>
        <w:right w:val="none" w:sz="0" w:space="0" w:color="auto"/>
      </w:divBdr>
      <w:divsChild>
        <w:div w:id="967666271">
          <w:marLeft w:val="0"/>
          <w:marRight w:val="0"/>
          <w:marTop w:val="0"/>
          <w:marBottom w:val="0"/>
          <w:divBdr>
            <w:top w:val="none" w:sz="0" w:space="0" w:color="auto"/>
            <w:left w:val="none" w:sz="0" w:space="0" w:color="auto"/>
            <w:bottom w:val="none" w:sz="0" w:space="0" w:color="auto"/>
            <w:right w:val="none" w:sz="0" w:space="0" w:color="auto"/>
          </w:divBdr>
        </w:div>
        <w:div w:id="2023237269">
          <w:marLeft w:val="0"/>
          <w:marRight w:val="0"/>
          <w:marTop w:val="0"/>
          <w:marBottom w:val="0"/>
          <w:divBdr>
            <w:top w:val="none" w:sz="0" w:space="0" w:color="auto"/>
            <w:left w:val="none" w:sz="0" w:space="0" w:color="auto"/>
            <w:bottom w:val="none" w:sz="0" w:space="0" w:color="auto"/>
            <w:right w:val="none" w:sz="0" w:space="0" w:color="auto"/>
          </w:divBdr>
        </w:div>
        <w:div w:id="1147042860">
          <w:marLeft w:val="0"/>
          <w:marRight w:val="0"/>
          <w:marTop w:val="0"/>
          <w:marBottom w:val="0"/>
          <w:divBdr>
            <w:top w:val="none" w:sz="0" w:space="0" w:color="auto"/>
            <w:left w:val="none" w:sz="0" w:space="0" w:color="auto"/>
            <w:bottom w:val="none" w:sz="0" w:space="0" w:color="auto"/>
            <w:right w:val="none" w:sz="0" w:space="0" w:color="auto"/>
          </w:divBdr>
        </w:div>
        <w:div w:id="1217082269">
          <w:marLeft w:val="0"/>
          <w:marRight w:val="0"/>
          <w:marTop w:val="0"/>
          <w:marBottom w:val="0"/>
          <w:divBdr>
            <w:top w:val="none" w:sz="0" w:space="0" w:color="auto"/>
            <w:left w:val="none" w:sz="0" w:space="0" w:color="auto"/>
            <w:bottom w:val="none" w:sz="0" w:space="0" w:color="auto"/>
            <w:right w:val="none" w:sz="0" w:space="0" w:color="auto"/>
          </w:divBdr>
        </w:div>
        <w:div w:id="1777824219">
          <w:marLeft w:val="0"/>
          <w:marRight w:val="0"/>
          <w:marTop w:val="0"/>
          <w:marBottom w:val="0"/>
          <w:divBdr>
            <w:top w:val="none" w:sz="0" w:space="0" w:color="auto"/>
            <w:left w:val="none" w:sz="0" w:space="0" w:color="auto"/>
            <w:bottom w:val="none" w:sz="0" w:space="0" w:color="auto"/>
            <w:right w:val="none" w:sz="0" w:space="0" w:color="auto"/>
          </w:divBdr>
        </w:div>
      </w:divsChild>
    </w:div>
    <w:div w:id="598412598">
      <w:bodyDiv w:val="1"/>
      <w:marLeft w:val="0"/>
      <w:marRight w:val="0"/>
      <w:marTop w:val="0"/>
      <w:marBottom w:val="0"/>
      <w:divBdr>
        <w:top w:val="none" w:sz="0" w:space="0" w:color="auto"/>
        <w:left w:val="none" w:sz="0" w:space="0" w:color="auto"/>
        <w:bottom w:val="none" w:sz="0" w:space="0" w:color="auto"/>
        <w:right w:val="none" w:sz="0" w:space="0" w:color="auto"/>
      </w:divBdr>
      <w:divsChild>
        <w:div w:id="1343892374">
          <w:marLeft w:val="0"/>
          <w:marRight w:val="0"/>
          <w:marTop w:val="0"/>
          <w:marBottom w:val="0"/>
          <w:divBdr>
            <w:top w:val="none" w:sz="0" w:space="0" w:color="auto"/>
            <w:left w:val="none" w:sz="0" w:space="0" w:color="auto"/>
            <w:bottom w:val="none" w:sz="0" w:space="0" w:color="auto"/>
            <w:right w:val="none" w:sz="0" w:space="0" w:color="auto"/>
          </w:divBdr>
        </w:div>
        <w:div w:id="856499255">
          <w:marLeft w:val="0"/>
          <w:marRight w:val="0"/>
          <w:marTop w:val="0"/>
          <w:marBottom w:val="0"/>
          <w:divBdr>
            <w:top w:val="none" w:sz="0" w:space="0" w:color="auto"/>
            <w:left w:val="none" w:sz="0" w:space="0" w:color="auto"/>
            <w:bottom w:val="none" w:sz="0" w:space="0" w:color="auto"/>
            <w:right w:val="none" w:sz="0" w:space="0" w:color="auto"/>
          </w:divBdr>
        </w:div>
        <w:div w:id="1425955056">
          <w:marLeft w:val="0"/>
          <w:marRight w:val="0"/>
          <w:marTop w:val="0"/>
          <w:marBottom w:val="0"/>
          <w:divBdr>
            <w:top w:val="none" w:sz="0" w:space="0" w:color="auto"/>
            <w:left w:val="none" w:sz="0" w:space="0" w:color="auto"/>
            <w:bottom w:val="none" w:sz="0" w:space="0" w:color="auto"/>
            <w:right w:val="none" w:sz="0" w:space="0" w:color="auto"/>
          </w:divBdr>
        </w:div>
        <w:div w:id="423232523">
          <w:marLeft w:val="0"/>
          <w:marRight w:val="0"/>
          <w:marTop w:val="0"/>
          <w:marBottom w:val="0"/>
          <w:divBdr>
            <w:top w:val="none" w:sz="0" w:space="0" w:color="auto"/>
            <w:left w:val="none" w:sz="0" w:space="0" w:color="auto"/>
            <w:bottom w:val="none" w:sz="0" w:space="0" w:color="auto"/>
            <w:right w:val="none" w:sz="0" w:space="0" w:color="auto"/>
          </w:divBdr>
        </w:div>
        <w:div w:id="182643566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527</Words>
  <Characters>2846</Characters>
  <Application>Microsoft Office Word</Application>
  <DocSecurity>0</DocSecurity>
  <Lines>23</Lines>
  <Paragraphs>6</Paragraphs>
  <ScaleCrop>false</ScaleCrop>
  <Company/>
  <LinksUpToDate>false</LinksUpToDate>
  <CharactersWithSpaces>3367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 Big Boss</dc:creator>
  <cp:keywords/>
  <dc:description/>
  <cp:lastModifiedBy>The Big Boss</cp:lastModifiedBy>
  <cp:revision>2</cp:revision>
  <dcterms:created xsi:type="dcterms:W3CDTF">2024-09-22T09:45:00Z</dcterms:created>
  <dcterms:modified xsi:type="dcterms:W3CDTF">2024-09-22T09:46:00Z</dcterms:modified>
</cp:coreProperties>
</file>