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jc w:val="center"/>
      </w:pPr>
      <w:r>
        <w:rPr>
          <w:rFonts w:ascii="Times New Roman" w:cs="Times New Roman" w:eastAsia="바탕" w:hAnsi="Times New Roman"/>
          <w:b/>
          <w:bCs/>
          <w:sz w:val="22"/>
          <w:szCs w:val="22"/>
        </w:rPr>
        <w:t xml:space="preserve">한국 성인의 우울 증상과 관련된 다차원 요인</w:t>
      </w:r>
    </w:p>
    <w:p>
      <w:pPr>
        <w:spacing w:line="480"/>
        <w:jc w:val="center"/>
      </w:pPr>
      <w:r>
        <w:rPr>
          <w:rFonts w:ascii="Times New Roman" w:cs="Times New Roman" w:eastAsia="바탕" w:hAnsi="Times New Roman"/>
          <w:b/>
          <w:bCs/>
          <w:sz w:val="22"/>
          <w:szCs w:val="22"/>
        </w:rPr>
        <w:t xml:space="preserve">— 2025 지역사회건강조사 자료의 머신러닝 영역 기여도 분석과 조사설계 기반 회귀분석 —</w:t>
      </w:r>
    </w:p>
    <w:p>
      <w:pPr>
        <w:spacing w:line="480"/>
        <w:jc w:val="center"/>
      </w:pPr>
      <w:r>
        <w:rPr>
          <w:rFonts w:ascii="Times New Roman" w:cs="Times New Roman" w:eastAsia="바탕" w:hAnsi="Times New Roman"/>
          <w:i/>
          <w:iCs/>
          <w:sz w:val="22"/>
          <w:szCs w:val="22"/>
        </w:rPr>
        <w:t xml:space="preserve">Multidimensional Correlates of Depressive Symptoms Among Korean Adults: Domain-Level Machine Learning and Survey-Weighted Regression Analyses of the 2025 Korea Community Health Survey</w:t>
      </w:r>
    </w:p>
    <w:p>
      <w:pPr>
        <w:spacing w:line="480"/>
        <w:jc w:val="center"/>
      </w:pPr>
      <w:r>
        <w:rPr>
          <w:rFonts w:ascii="Times New Roman" w:cs="Times New Roman" w:eastAsia="바탕" w:hAnsi="Times New Roman"/>
          <w:sz w:val="22"/>
          <w:szCs w:val="22"/>
        </w:rPr>
        <w:t xml:space="preserve"/>
      </w:r>
    </w:p>
    <w:p>
      <w:pPr>
        <w:spacing w:line="480"/>
        <w:jc w:val="center"/>
      </w:pPr>
      <w:r>
        <w:rPr>
          <w:rFonts w:ascii="Times New Roman" w:cs="Times New Roman" w:eastAsia="바탕" w:hAnsi="Times New Roman"/>
          <w:sz w:val="22"/>
          <w:szCs w:val="22"/>
          <w:highlight w:val="yellow"/>
        </w:rPr>
        <w:t xml:space="preserve">[저자명 1], [저자명 2], [저자명 3]</w:t>
      </w:r>
    </w:p>
    <w:p>
      <w:pPr>
        <w:spacing w:line="480"/>
        <w:jc w:val="center"/>
      </w:pPr>
      <w:r>
        <w:rPr>
          <w:rFonts w:ascii="Times New Roman" w:cs="Times New Roman" w:eastAsia="바탕" w:hAnsi="Times New Roman"/>
          <w:sz w:val="22"/>
          <w:szCs w:val="22"/>
        </w:rPr>
        <w:t xml:space="preserve">한국외국어대학교 </w:t>
      </w:r>
      <w:r>
        <w:rPr>
          <w:rFonts w:ascii="Times New Roman" w:cs="Times New Roman" w:eastAsia="바탕" w:hAnsi="Times New Roman"/>
          <w:sz w:val="22"/>
          <w:szCs w:val="22"/>
          <w:highlight w:val="yellow"/>
        </w:rPr>
        <w:t xml:space="preserve">[학과명]</w:t>
      </w:r>
    </w:p>
    <w:p>
      <w:pPr>
        <w:spacing w:line="480"/>
        <w:jc w:val="center"/>
      </w:pPr>
      <w:r>
        <w:rPr>
          <w:rFonts w:ascii="Times New Roman" w:cs="Times New Roman" w:eastAsia="바탕" w:hAnsi="Times New Roman"/>
          <w:sz w:val="22"/>
          <w:szCs w:val="22"/>
        </w:rPr>
        <w:t xml:space="preserve">S01418201 스포츠융합산업프로젝트실습</w:t>
      </w:r>
    </w:p>
    <w:p>
      <w:pPr>
        <w:spacing w:line="480"/>
        <w:jc w:val="center"/>
      </w:pPr>
      <w:r>
        <w:rPr>
          <w:rFonts w:ascii="Times New Roman" w:cs="Times New Roman" w:eastAsia="바탕" w:hAnsi="Times New Roman"/>
          <w:sz w:val="22"/>
          <w:szCs w:val="22"/>
        </w:rPr>
        <w:t xml:space="preserve">박성희 교수 외 팀티칭</w:t>
      </w:r>
    </w:p>
    <w:p>
      <w:pPr>
        <w:spacing w:line="480"/>
        <w:jc w:val="center"/>
      </w:pPr>
      <w:r>
        <w:rPr>
          <w:rFonts w:ascii="Times New Roman" w:cs="Times New Roman" w:eastAsia="바탕" w:hAnsi="Times New Roman"/>
          <w:sz w:val="22"/>
          <w:szCs w:val="22"/>
          <w:highlight w:val="yellow"/>
        </w:rPr>
        <w:t xml:space="preserve">[제출일: 2026년 ○월 ○일]</w:t>
      </w:r>
    </w:p>
    <w:p>
      <w:pPr>
        <w:spacing w:before="1200"/>
      </w:pPr>
    </w:p>
    <w:p>
      <w:pPr>
        <w:spacing w:line="480"/>
        <w:jc w:val="center"/>
      </w:pPr>
      <w:r>
        <w:rPr>
          <w:rFonts w:ascii="Times New Roman" w:cs="Times New Roman" w:eastAsia="바탕" w:hAnsi="Times New Roman"/>
          <w:b/>
          <w:bCs/>
          <w:sz w:val="22"/>
          <w:szCs w:val="22"/>
        </w:rPr>
        <w:t xml:space="preserve">저자 노트</w:t>
      </w:r>
    </w:p>
    <w:p>
      <w:pPr>
        <w:spacing w:line="480"/>
        <w:jc w:val="both"/>
      </w:pPr>
      <w:r>
        <w:rPr>
          <w:rFonts w:ascii="Times New Roman" w:cs="Times New Roman" w:eastAsia="바탕" w:hAnsi="Times New Roman"/>
          <w:sz w:val="22"/>
          <w:szCs w:val="22"/>
        </w:rPr>
        <w:t xml:space="preserve">연구비: </w:t>
      </w:r>
      <w:r>
        <w:rPr>
          <w:rFonts w:ascii="Times New Roman" w:cs="Times New Roman" w:eastAsia="바탕" w:hAnsi="Times New Roman"/>
          <w:sz w:val="22"/>
          <w:szCs w:val="22"/>
          <w:highlight w:val="yellow"/>
        </w:rPr>
        <w:t xml:space="preserve">[연구비 지원 여부와 지원 기관을 기재]</w:t>
      </w:r>
      <w:r>
        <w:rPr>
          <w:rFonts w:ascii="Times New Roman" w:cs="Times New Roman" w:eastAsia="바탕" w:hAnsi="Times New Roman"/>
          <w:sz w:val="22"/>
          <w:szCs w:val="22"/>
        </w:rPr>
        <w:t xml:space="preserve"> 이해상충: </w:t>
      </w:r>
      <w:r>
        <w:rPr>
          <w:rFonts w:ascii="Times New Roman" w:cs="Times New Roman" w:eastAsia="바탕" w:hAnsi="Times New Roman"/>
          <w:sz w:val="22"/>
          <w:szCs w:val="22"/>
          <w:highlight w:val="yellow"/>
        </w:rPr>
        <w:t xml:space="preserve">[이해상충 여부를 기재]</w:t>
      </w:r>
      <w:r>
        <w:rPr>
          <w:rFonts w:ascii="Times New Roman" w:cs="Times New Roman" w:eastAsia="바탕" w:hAnsi="Times New Roman"/>
          <w:sz w:val="22"/>
          <w:szCs w:val="22"/>
        </w:rPr>
        <w:t xml:space="preserve"> 생성형 AI 활용: </w:t>
      </w:r>
      <w:r>
        <w:rPr>
          <w:rFonts w:ascii="Times New Roman" w:cs="Times New Roman" w:eastAsia="바탕" w:hAnsi="Times New Roman"/>
          <w:sz w:val="22"/>
          <w:szCs w:val="22"/>
          <w:highlight w:val="yellow"/>
        </w:rPr>
        <w:t xml:space="preserve">[예: 분석 코드와 원고 초안 작성에 Anthropic Claude를 활용하였으며 저자가 모든 결과와 문장을 검토·수정하였다 — 학교·학술지 규정에 맞게 수정]</w:t>
      </w:r>
      <w:r>
        <w:rPr>
          <w:rFonts w:ascii="Times New Roman" w:cs="Times New Roman" w:eastAsia="바탕" w:hAnsi="Times New Roman"/>
          <w:sz w:val="22"/>
          <w:szCs w:val="22"/>
        </w:rPr>
        <w:t xml:space="preserve"> 교신저자: </w:t>
      </w:r>
      <w:r>
        <w:rPr>
          <w:rFonts w:ascii="Times New Roman" w:cs="Times New Roman" w:eastAsia="바탕" w:hAnsi="Times New Roman"/>
          <w:sz w:val="22"/>
          <w:szCs w:val="22"/>
          <w:highlight w:val="yellow"/>
        </w:rPr>
        <w:t xml:space="preserve">[이름, 이메일]</w:t>
      </w:r>
    </w:p>
    <w:p>
      <w:r>
        <w:br w:type="page"/>
      </w:r>
    </w:p>
    <w:p>
      <w:pPr>
        <w:pStyle w:val="Heading1"/>
        <w:keepNext/>
        <w:spacing w:line="480"/>
        <w:jc w:val="center"/>
      </w:pPr>
      <w:r>
        <w:rPr>
          <w:rFonts w:ascii="Times New Roman" w:cs="Times New Roman" w:eastAsia="바탕" w:hAnsi="Times New Roman"/>
          <w:b/>
          <w:bCs/>
          <w:sz w:val="22"/>
          <w:szCs w:val="22"/>
        </w:rPr>
        <w:t xml:space="preserve">국문 초록</w:t>
      </w:r>
    </w:p>
    <w:p>
      <w:pPr>
        <w:spacing w:line="480"/>
        <w:jc w:val="left"/>
      </w:pPr>
      <w:r>
        <w:rPr>
          <w:rFonts w:ascii="Times New Roman" w:cs="Times New Roman" w:eastAsia="바탕" w:hAnsi="Times New Roman"/>
          <w:b/>
          <w:bCs/>
          <w:sz w:val="22"/>
          <w:szCs w:val="22"/>
        </w:rPr>
        <w:t xml:space="preserve">목적: </w:t>
      </w:r>
      <w:r>
        <w:rPr>
          <w:rFonts w:ascii="Times New Roman" w:cs="Times New Roman" w:eastAsia="바탕" w:hAnsi="Times New Roman"/>
          <w:sz w:val="22"/>
          <w:szCs w:val="22"/>
        </w:rPr>
        <w:t xml:space="preserve">이 연구는 한국 성인의 우울 증상을 단일 요인이 아니라 인구·경제·신체건강·건강행태·사회관계·생활환경·의료접근의 다차원 관점에서 분석하여, 어떤 영역과 요인이 우울 증상과 가장 강하게 관련되는지, 그리고 신체활동이 다른 생활요인과 함께할 때 어떤 조합에서 우울 증상 비율이 가장 낮은지를 확인하고자 하였다.</w:t>
      </w:r>
    </w:p>
    <w:p>
      <w:pPr>
        <w:spacing w:line="480"/>
        <w:jc w:val="left"/>
      </w:pPr>
      <w:r>
        <w:rPr>
          <w:rFonts w:ascii="Times New Roman" w:cs="Times New Roman" w:eastAsia="바탕" w:hAnsi="Times New Roman"/>
          <w:b/>
          <w:bCs/>
          <w:sz w:val="22"/>
          <w:szCs w:val="22"/>
        </w:rPr>
        <w:t xml:space="preserve">방법: </w:t>
      </w:r>
      <w:r>
        <w:rPr>
          <w:rFonts w:ascii="Times New Roman" w:cs="Times New Roman" w:eastAsia="바탕" w:hAnsi="Times New Roman"/>
          <w:sz w:val="22"/>
          <w:szCs w:val="22"/>
        </w:rPr>
        <w:t xml:space="preserve">2025년 지역사회건강조사 원시자료의 만 19세 이상 성인 231,290명을 분석한 횡단면 연구이다. 결과변수는 PHQ-9 총점 10점 이상(우울 증상 기준 충족)으로 정의하였다. 원시자료 문항을 8개 영역 66개 변수로 구성하고, 우울 증상과 개념이 겹치는 심리·증상근접 영역은 주 분석에서 분리하였다. 가구 단위로 학습셋과 시험셋을 나누어 CatBoost를 포함한 6개 알고리즘을 비교하였고, 영역을 하나씩 추가·제거하는 실험과 SHAP으로 영역·변수 기여도를 평가하였다. 또한 가중치·층·집락을 반영한 로지스틱 회귀로 조정 오즈비와 신체활동·생활요인 조합별 조정 유병률을 추정하였다.</w:t>
      </w:r>
    </w:p>
    <w:p>
      <w:pPr>
        <w:spacing w:line="480"/>
        <w:jc w:val="left"/>
      </w:pPr>
      <w:r>
        <w:rPr>
          <w:rFonts w:ascii="Times New Roman" w:cs="Times New Roman" w:eastAsia="바탕" w:hAnsi="Times New Roman"/>
          <w:b/>
          <w:bCs/>
          <w:sz w:val="22"/>
          <w:szCs w:val="22"/>
        </w:rPr>
        <w:t xml:space="preserve">결과: </w:t>
      </w:r>
      <w:r>
        <w:rPr>
          <w:rFonts w:ascii="Times New Roman" w:cs="Times New Roman" w:eastAsia="바탕" w:hAnsi="Times New Roman"/>
          <w:sz w:val="22"/>
          <w:szCs w:val="22"/>
        </w:rPr>
        <w:t xml:space="preserve">우울 증상 기준 충족률은 3.76%(가중)였다. 주 분석 모형(CatBoost)의 시험셋 average precision(AP)은 0.283(ROC-AUC 0.846)로, 인구 정보만 쓴 모형(0.086)보다 높았다. 모든 영역이 단독으로도, 다른 영역을 모두 포함한 뒤에도 유의한 정보를 더했으며, 신체건강 영역의 기여가 가장 컸다(ΔAP +0.090). 바꿀 수 있는 요인 중에서는 식품 불안정(OR 3.24, 95% CI [2.60, 4.03]), 저작불편(OR 2.79, 95% CI [2.39, 3.26]), 미충족 의료(OR 2.15, 95% CI [1.96, 2.37]), 친구와의 연락 단절(OR 1.59, 95% CI [1.42, 1.78]), 현재흡연(OR 1.45, 95% CI [1.30, 1.62]), 아침 결식(OR 1.41, 95% CI [1.30, 1.54])이 우울 증상과 관련되었고, 걷기 실천(OR 0.80, 95% CI [0.75, 0.85])과 근력운동(OR 0.85, 95% CI [0.78, 0.93])은 낮은 쪽과 관련되었다. 신체활동 권고 충족과 다른 건강 생활요인을 함께 충족한 개수가 많을수록 조정 유병률은 13.9%(0개)에서 2.0%(6~7개)로 단계적으로 낮아졌다.</w:t>
      </w:r>
    </w:p>
    <w:p>
      <w:pPr>
        <w:spacing w:line="480"/>
        <w:jc w:val="left"/>
      </w:pPr>
      <w:r>
        <w:rPr>
          <w:rFonts w:ascii="Times New Roman" w:cs="Times New Roman" w:eastAsia="바탕" w:hAnsi="Times New Roman"/>
          <w:b/>
          <w:bCs/>
          <w:sz w:val="22"/>
          <w:szCs w:val="22"/>
        </w:rPr>
        <w:t xml:space="preserve">결론: </w:t>
      </w:r>
      <w:r>
        <w:rPr>
          <w:rFonts w:ascii="Times New Roman" w:cs="Times New Roman" w:eastAsia="바탕" w:hAnsi="Times New Roman"/>
          <w:sz w:val="22"/>
          <w:szCs w:val="22"/>
        </w:rPr>
        <w:t xml:space="preserve">우울 증상은 여러 영역의 요인이 독립적으로 함께 관련되는 복합 현상이다. 신체활동은 사회적 교류, 식생활, 금연 등 다른 생활요인과 함께 실천할 때 우울 증상 비율이 가장 낮았다. 횡단면 자료이므로 인과적 효과로 해석해서는 안 되며, 운동과 사회적 교류를 결합한 프로그램의 효과는 중재연구로 검증할 필요가 있다.</w:t>
      </w:r>
    </w:p>
    <w:p>
      <w:pPr>
        <w:spacing w:line="480"/>
        <w:jc w:val="left"/>
      </w:pPr>
      <w:r>
        <w:rPr>
          <w:rFonts w:ascii="Times New Roman" w:cs="Times New Roman" w:eastAsia="바탕" w:hAnsi="Times New Roman"/>
          <w:b/>
          <w:bCs/>
          <w:sz w:val="22"/>
          <w:szCs w:val="22"/>
        </w:rPr>
        <w:t xml:space="preserve">주요어: </w:t>
      </w:r>
      <w:r>
        <w:rPr>
          <w:rFonts w:ascii="Times New Roman" w:cs="Times New Roman" w:eastAsia="바탕" w:hAnsi="Times New Roman"/>
          <w:sz w:val="22"/>
          <w:szCs w:val="22"/>
        </w:rPr>
        <w:t xml:space="preserve">우울 증상, PHQ-9, 다차원 요인, 신체활동, 머신러닝, SHAP, 지역사회건강조사</w:t>
      </w:r>
    </w:p>
    <w:p>
      <w:r>
        <w:br w:type="page"/>
      </w:r>
    </w:p>
    <w:p>
      <w:pPr>
        <w:pStyle w:val="Heading1"/>
        <w:keepNext/>
        <w:spacing w:line="480"/>
        <w:jc w:val="center"/>
      </w:pPr>
      <w:r>
        <w:rPr>
          <w:rFonts w:ascii="Times New Roman" w:cs="Times New Roman" w:eastAsia="바탕" w:hAnsi="Times New Roman"/>
          <w:b/>
          <w:bCs/>
          <w:sz w:val="22"/>
          <w:szCs w:val="22"/>
        </w:rPr>
        <w:t xml:space="preserve">Abstract</w:t>
      </w:r>
    </w:p>
    <w:p>
      <w:pPr>
        <w:spacing w:line="480"/>
        <w:jc w:val="left"/>
      </w:pPr>
      <w:r>
        <w:rPr>
          <w:rFonts w:ascii="Times New Roman" w:cs="Times New Roman" w:eastAsia="바탕" w:hAnsi="Times New Roman"/>
          <w:b/>
          <w:bCs/>
          <w:sz w:val="22"/>
          <w:szCs w:val="22"/>
        </w:rPr>
        <w:t xml:space="preserve">Objective: </w:t>
      </w:r>
      <w:r>
        <w:rPr>
          <w:rFonts w:ascii="Times New Roman" w:cs="Times New Roman" w:eastAsia="바탕" w:hAnsi="Times New Roman"/>
          <w:sz w:val="22"/>
          <w:szCs w:val="22"/>
        </w:rPr>
        <w:t xml:space="preserve">This study examined depressive symptoms among Korean adults from a multidimensional perspective covering demographic, economic, physical health, health behavior, social, environmental, and healthcare access domains, to identify which domains and factors are most strongly associated with depressive symptoms and which combinations of physical activity and other lifestyle factors show the lowest prevalence.</w:t>
      </w:r>
    </w:p>
    <w:p>
      <w:pPr>
        <w:spacing w:line="480"/>
        <w:jc w:val="left"/>
      </w:pPr>
      <w:r>
        <w:rPr>
          <w:rFonts w:ascii="Times New Roman" w:cs="Times New Roman" w:eastAsia="바탕" w:hAnsi="Times New Roman"/>
          <w:b/>
          <w:bCs/>
          <w:sz w:val="22"/>
          <w:szCs w:val="22"/>
        </w:rPr>
        <w:t xml:space="preserve">Methods: </w:t>
      </w:r>
      <w:r>
        <w:rPr>
          <w:rFonts w:ascii="Times New Roman" w:cs="Times New Roman" w:eastAsia="바탕" w:hAnsi="Times New Roman"/>
          <w:sz w:val="22"/>
          <w:szCs w:val="22"/>
        </w:rPr>
        <w:t xml:space="preserve">In this cross-sectional study of 231,290 adults aged 19 years or older from the 2025 Korea Community Health Survey, depressive symptoms were defined as a PHQ-9 score of 10 or higher. We constructed 66 variables in eight domains and separated a symptom-proximal psychological domain from the main analysis. Six algorithms, including CatBoost, were compared using a household-level train–test split; domain contributions were assessed with add-one-domain and leave-one-domain-out experiments and SHAP values. Survey-weighted logistic regression accounting for strata and clusters estimated adjusted odds ratios and adjusted prevalences by combinations of physical activity and lifestyle factors.</w:t>
      </w:r>
    </w:p>
    <w:p>
      <w:pPr>
        <w:spacing w:line="480"/>
        <w:jc w:val="left"/>
      </w:pPr>
      <w:r>
        <w:rPr>
          <w:rFonts w:ascii="Times New Roman" w:cs="Times New Roman" w:eastAsia="바탕" w:hAnsi="Times New Roman"/>
          <w:b/>
          <w:bCs/>
          <w:sz w:val="22"/>
          <w:szCs w:val="22"/>
        </w:rPr>
        <w:t xml:space="preserve">Results: </w:t>
      </w:r>
      <w:r>
        <w:rPr>
          <w:rFonts w:ascii="Times New Roman" w:cs="Times New Roman" w:eastAsia="바탕" w:hAnsi="Times New Roman"/>
          <w:sz w:val="22"/>
          <w:szCs w:val="22"/>
        </w:rPr>
        <w:t xml:space="preserve">The weighted prevalence of depressive symptoms was 3.76%. The main CatBoost model achieved a test average precision of 0.283 (ROC-AUC 0.846) compared with 0.086 for demographics alone. Every domain added significant information both alone and after all other domains were included, with physical health contributing most. Among modifiable factors, food insecurity (OR 3.24), chewing difficulty (OR 2.79), unmet medical needs (OR 2.15), infrequent contact with friends (OR 1.59), current smoking (OR 1.45), and skipping breakfast (OR 1.41) were associated with depressive symptoms, whereas walking (OR 0.80) and muscle-strengthening activity (OR 0.85) were associated with lower odds. The adjusted prevalence decreased stepwise from 13.9% to 2.0% as the number of healthy lifestyle factors met alongside physical activity increased.</w:t>
      </w:r>
    </w:p>
    <w:p>
      <w:pPr>
        <w:spacing w:line="480"/>
        <w:jc w:val="left"/>
      </w:pPr>
      <w:r>
        <w:rPr>
          <w:rFonts w:ascii="Times New Roman" w:cs="Times New Roman" w:eastAsia="바탕" w:hAnsi="Times New Roman"/>
          <w:b/>
          <w:bCs/>
          <w:sz w:val="22"/>
          <w:szCs w:val="22"/>
        </w:rPr>
        <w:t xml:space="preserve">Conclusions: </w:t>
      </w:r>
      <w:r>
        <w:rPr>
          <w:rFonts w:ascii="Times New Roman" w:cs="Times New Roman" w:eastAsia="바탕" w:hAnsi="Times New Roman"/>
          <w:sz w:val="22"/>
          <w:szCs w:val="22"/>
        </w:rPr>
        <w:t xml:space="preserve">Depressive symptoms are a multifactorial phenomenon jointly associated with multiple domains. Physical activity combined with social connection, regular meals, and non-smoking was associated with the lowest prevalence. Given the cross-sectional design, these associations should not be interpreted causally; integrated exercise and social programs warrant evaluation in intervention studies.</w:t>
      </w:r>
    </w:p>
    <w:p>
      <w:pPr>
        <w:spacing w:line="480"/>
        <w:jc w:val="left"/>
      </w:pPr>
      <w:r>
        <w:rPr>
          <w:rFonts w:ascii="Times New Roman" w:cs="Times New Roman" w:eastAsia="바탕" w:hAnsi="Times New Roman"/>
          <w:b/>
          <w:bCs/>
          <w:sz w:val="22"/>
          <w:szCs w:val="22"/>
        </w:rPr>
        <w:t xml:space="preserve">Keywords: </w:t>
      </w:r>
      <w:r>
        <w:rPr>
          <w:rFonts w:ascii="Times New Roman" w:cs="Times New Roman" w:eastAsia="바탕" w:hAnsi="Times New Roman"/>
          <w:sz w:val="22"/>
          <w:szCs w:val="22"/>
        </w:rPr>
        <w:t xml:space="preserve">depressive symptoms, PHQ-9, multidimensional determinants, physical activity, machine learning, SHAP, Korea Community Health Survey</w:t>
      </w:r>
    </w:p>
    <w:p>
      <w:r>
        <w:br w:type="page"/>
      </w:r>
    </w:p>
    <w:p>
      <w:pPr>
        <w:spacing w:line="480"/>
        <w:jc w:val="center"/>
      </w:pPr>
      <w:r>
        <w:rPr>
          <w:rFonts w:ascii="Times New Roman" w:cs="Times New Roman" w:eastAsia="바탕" w:hAnsi="Times New Roman"/>
          <w:b/>
          <w:bCs/>
          <w:sz w:val="22"/>
          <w:szCs w:val="22"/>
        </w:rPr>
        <w:t xml:space="preserve">한국 성인의 우울 증상과 관련된 다차원 요인</w:t>
      </w:r>
    </w:p>
    <w:p>
      <w:pPr>
        <w:pStyle w:val="Heading1"/>
        <w:keepNext/>
        <w:spacing w:line="480"/>
        <w:jc w:val="center"/>
      </w:pPr>
      <w:r>
        <w:rPr>
          <w:rFonts w:ascii="Times New Roman" w:cs="Times New Roman" w:eastAsia="바탕" w:hAnsi="Times New Roman"/>
          <w:b/>
          <w:bCs/>
          <w:sz w:val="22"/>
          <w:szCs w:val="22"/>
        </w:rPr>
        <w:t xml:space="preserve">서론</w:t>
      </w:r>
    </w:p>
    <w:p>
      <w:pPr>
        <w:spacing w:line="480"/>
        <w:ind w:firstLine="720"/>
        <w:jc w:val="both"/>
      </w:pPr>
      <w:r>
        <w:rPr>
          <w:rFonts w:ascii="Times New Roman" w:cs="Times New Roman" w:eastAsia="바탕" w:hAnsi="Times New Roman"/>
          <w:sz w:val="22"/>
          <w:szCs w:val="22"/>
        </w:rPr>
        <w:t xml:space="preserve">우울은 개인의 기능과 삶의 질을 떨어뜨리는 대표적인 정신건강 문제이다. 우울 증상과 관련된 요인은 하나의 영역에 국한되지 않는다. Engel(1977)은 질병을 생물학적 요인만으로 설명하는 의학 모형의 한계를 지적하고 심리·사회적 측면을 함께 보는 생물심리사회 모형을 제안하였다. McLeroy 등(1988)의 사회생태 모형은 개인 특성뿐 아니라 대인관계, 조직, 지역사회, 정책 수준의 요인을 건강행동의 결정요인으로 함께 다룬다. Berkman 등(2000)은 사회적 연결망이 사회적 지지, 사회적 영향, 사회적 참여, 자원 접근의 경로로 건강에 작용한다고 정리하였다.</w:t>
      </w:r>
    </w:p>
    <w:p>
      <w:pPr>
        <w:spacing w:line="480"/>
        <w:ind w:firstLine="720"/>
        <w:jc w:val="both"/>
      </w:pPr>
      <w:r>
        <w:rPr>
          <w:rFonts w:ascii="Times New Roman" w:cs="Times New Roman" w:eastAsia="바탕" w:hAnsi="Times New Roman"/>
          <w:sz w:val="22"/>
          <w:szCs w:val="22"/>
        </w:rPr>
        <w:t xml:space="preserve">국내외 선행연구는 개별 요인과 우울의 관계를 보고해 왔다. 운동 중재의 무작위 대조시험을 종합한 네트워크 메타분석에서는 걷기·조깅, 요가, 근력운동이 우울 증상 완화에 효과적인 운동으로 나타났다(Noetel et al., 2024). 식품 불안정은 우울 위험 증가와 관련되었고(Pourmotabbed et al., 2020), 우울·불안 장애가 있는 사람은 치아 우식과 치아 상실이 더 많았다(Kisely et al., 2016). 국내에서는 지역사회건강조사를 활용하여 신체활동과 우울 증상의 인구집단별 양상을 기술한 연구(Kim et al., 2025), 노인의 사회적 연결망과 동네 만족이 우울 증상과 관련됨을 보인 연구(Lee et al., 2025), 이웃 연결망과 생활환경이 신체활동과 관련됨을 보인 연구(Lee &amp; Park, 2021)가 있다. 영국 바이오뱅크 코호트에서는 신체활동, 수면, 금연, 사회적 연결 등 7개 생활요인을 함께 지킬수록 우울 위험이 낮았다(Zhao et al., 2023).</w:t>
      </w:r>
    </w:p>
    <w:p>
      <w:pPr>
        <w:spacing w:line="480"/>
        <w:ind w:firstLine="720"/>
        <w:jc w:val="both"/>
      </w:pPr>
      <w:r>
        <w:rPr>
          <w:rFonts w:ascii="Times New Roman" w:cs="Times New Roman" w:eastAsia="바탕" w:hAnsi="Times New Roman"/>
          <w:sz w:val="22"/>
          <w:szCs w:val="22"/>
        </w:rPr>
        <w:t xml:space="preserve">그러나 대부분의 연구는 소수의 요인을 중심으로 관계를 검증하였고, 여러 영역의 요인을 한 모형에서 함께 비교하여 어느 영역이 얼마나 독립적인 정보를 갖는지 보여준 연구는 드물다. 머신러닝은 많은 변수 사이의 비선형 관계와 상호작용을 유연하게 다룰 수 있어 영역별 기여도를 비교하는 데 적합하지만, 예측 기여만으로는 연관의 방향과 크기, 모집단 추정의 불확실성을 알 수 없다. 따라서 이 연구는 머신러닝의 영역 기여도 분석과 조사설계를 반영한 회귀분석을 함께 사용하였다.</w:t>
      </w:r>
    </w:p>
    <w:p>
      <w:pPr>
        <w:spacing w:line="480"/>
        <w:ind w:firstLine="720"/>
        <w:jc w:val="both"/>
      </w:pPr>
      <w:r>
        <w:rPr>
          <w:rFonts w:ascii="Times New Roman" w:cs="Times New Roman" w:eastAsia="바탕" w:hAnsi="Times New Roman"/>
          <w:sz w:val="22"/>
          <w:szCs w:val="22"/>
        </w:rPr>
        <w:t xml:space="preserve">이 연구의 목적은 2025년 지역사회건강조사 자료를 이용하여 한국 성인의 우울 증상과 관련된 다차원 요인을 분석하는 것이다. 연구 질문은 다음과 같다. 첫째, 어떤 영역과 요인이 우울 증상과 가장 강하게 관련되는가. 둘째, 그중 개인이나 지역사회가 바꿀 수 있는 요인은 무엇인가. 셋째, 신체활동이 다른 생활요인과 함께할 때 우울 증상 비율이 가장 낮은 조합은 무엇인가. 넷째, 연령대에 따라 관련 영역이 달라지는가.</w:t>
      </w:r>
    </w:p>
    <w:p>
      <w:pPr>
        <w:pStyle w:val="Heading1"/>
        <w:keepNext/>
        <w:spacing w:line="480"/>
        <w:jc w:val="center"/>
      </w:pPr>
      <w:r>
        <w:rPr>
          <w:rFonts w:ascii="Times New Roman" w:cs="Times New Roman" w:eastAsia="바탕" w:hAnsi="Times New Roman"/>
          <w:b/>
          <w:bCs/>
          <w:sz w:val="22"/>
          <w:szCs w:val="22"/>
        </w:rPr>
        <w:t xml:space="preserve">연구방법</w:t>
      </w:r>
    </w:p>
    <w:p>
      <w:pPr>
        <w:pStyle w:val="Heading2"/>
        <w:keepNext/>
        <w:spacing w:line="480"/>
      </w:pPr>
      <w:r>
        <w:rPr>
          <w:rFonts w:ascii="Times New Roman" w:cs="Times New Roman" w:eastAsia="바탕" w:hAnsi="Times New Roman"/>
          <w:b/>
          <w:bCs/>
          <w:sz w:val="22"/>
          <w:szCs w:val="22"/>
        </w:rPr>
        <w:t xml:space="preserve">연구설계와 자료</w:t>
      </w:r>
    </w:p>
    <w:p>
      <w:pPr>
        <w:spacing w:line="480"/>
        <w:ind w:firstLine="720"/>
        <w:jc w:val="both"/>
      </w:pPr>
      <w:r>
        <w:rPr>
          <w:rFonts w:ascii="Times New Roman" w:cs="Times New Roman" w:eastAsia="바탕" w:hAnsi="Times New Roman"/>
          <w:sz w:val="22"/>
          <w:szCs w:val="22"/>
        </w:rPr>
        <w:t xml:space="preserve">이 연구는 질병관리청의 2025년 지역사회건강조사 원시자료를 이차 분석한 횡단면 연구이다(질병관리청, 2025). 지역사회건강조사는 통·반·리의 주거용 주택(아파트, 일반주택)에 거주하는 만 19세 이상 성인을 조사모집단으로, 동·읍·면과 주택유형에 따라 층화한 뒤 표본지점과 가구를 계통추출하는 복합표본 조사이며, 보건소별 평균 900명을 목표로 한다. 2025년 조사는 2025년 5월 16일부터 7월 31일까지 훈련된 조사원이 표본가구를 방문하여 1:1 면접조사로 수행되었다(질병관리청, 2025). 이 연구의 자료에는 5,726개 층과 22,714개 표본지점(집락)이 포함되었다. 보고는 관찰연구 보고 지침인 STROBE(von Elm et al., 2007)와 예측모형 보고 지침인 TRIPOD+AI(Collins et al., 2024)를 따랐으며, 항목별 대응은 부록에 정리하였다.</w:t>
      </w:r>
    </w:p>
    <w:p>
      <w:pPr>
        <w:pStyle w:val="Heading2"/>
        <w:keepNext/>
        <w:spacing w:line="480"/>
      </w:pPr>
      <w:r>
        <w:rPr>
          <w:rFonts w:ascii="Times New Roman" w:cs="Times New Roman" w:eastAsia="바탕" w:hAnsi="Times New Roman"/>
          <w:b/>
          <w:bCs/>
          <w:sz w:val="22"/>
          <w:szCs w:val="22"/>
        </w:rPr>
        <w:t xml:space="preserve">연구대상</w:t>
      </w:r>
    </w:p>
    <w:p>
      <w:pPr>
        <w:spacing w:line="480"/>
        <w:ind w:firstLine="720"/>
        <w:jc w:val="both"/>
      </w:pPr>
      <w:r>
        <w:rPr>
          <w:rFonts w:ascii="Times New Roman" w:cs="Times New Roman" w:eastAsia="바탕" w:hAnsi="Times New Roman"/>
          <w:sz w:val="22"/>
          <w:szCs w:val="22"/>
        </w:rPr>
        <w:t xml:space="preserve">원시자료의 응답자는 231,615명이었다. 이 중 PHQ-9 9개 문항 가운데 하나 이상을 거부하거나 모름으로 응답하여 결과변수를 산출할 수 없는 325명을 제외한 231,290명(136,693가구)을 분석하였다(그림 1).</w:t>
      </w:r>
    </w:p>
    <w:p>
      <w:pPr>
        <w:keepNext/>
        <w:spacing w:after="0" w:before="240" w:line="276"/>
      </w:pPr>
      <w:r>
        <w:rPr>
          <w:rFonts w:ascii="Times New Roman" w:cs="Times New Roman" w:eastAsia="바탕" w:hAnsi="Times New Roman"/>
          <w:b/>
          <w:bCs/>
          <w:sz w:val="22"/>
          <w:szCs w:val="22"/>
        </w:rPr>
        <w:t xml:space="preserve">그림 1</w:t>
      </w:r>
    </w:p>
    <w:p>
      <w:pPr>
        <w:keepNext/>
        <w:spacing w:after="120" w:before="0" w:line="276"/>
      </w:pPr>
      <w:r>
        <w:rPr>
          <w:rFonts w:ascii="Times New Roman" w:cs="Times New Roman" w:eastAsia="바탕" w:hAnsi="Times New Roman"/>
          <w:i/>
          <w:iCs/>
          <w:sz w:val="22"/>
          <w:szCs w:val="22"/>
        </w:rPr>
        <w:t xml:space="preserve">연구대상 선정과 분석 흐름</w:t>
      </w:r>
    </w:p>
    <w:p>
      <w:pPr>
        <w:keepNext/>
        <w:spacing w:after="0" w:before="0" w:line="276"/>
        <w:jc w:val="center"/>
      </w:pPr>
      <w:r>
        <w:drawing>
          <wp:inline distT="0" distB="0" distL="0" distR="0">
            <wp:extent cx="51244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4086225"/>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PHQ-9 = Patient Health Questionnaire-9. 머신러닝의 학습·시험 분할은 같은 가구의 구성원이 한쪽에만 속하도록 가구 단위로 수행하였다.</w:t>
      </w:r>
    </w:p>
    <w:p>
      <w:pPr>
        <w:pStyle w:val="Heading2"/>
        <w:keepNext/>
        <w:spacing w:line="480"/>
      </w:pPr>
      <w:r>
        <w:rPr>
          <w:rFonts w:ascii="Times New Roman" w:cs="Times New Roman" w:eastAsia="바탕" w:hAnsi="Times New Roman"/>
          <w:b/>
          <w:bCs/>
          <w:sz w:val="22"/>
          <w:szCs w:val="22"/>
        </w:rPr>
        <w:t xml:space="preserve">변수</w:t>
      </w:r>
    </w:p>
    <w:p>
      <w:pPr>
        <w:pStyle w:val="Heading3"/>
        <w:keepNext/>
        <w:spacing w:line="480"/>
      </w:pPr>
      <w:r>
        <w:rPr>
          <w:rFonts w:ascii="Times New Roman" w:cs="Times New Roman" w:eastAsia="바탕" w:hAnsi="Times New Roman"/>
          <w:b/>
          <w:bCs/>
          <w:i/>
          <w:iCs/>
          <w:sz w:val="22"/>
          <w:szCs w:val="22"/>
        </w:rPr>
        <w:t xml:space="preserve">결과변수</w:t>
      </w:r>
    </w:p>
    <w:p>
      <w:pPr>
        <w:spacing w:line="480"/>
        <w:ind w:firstLine="720"/>
        <w:jc w:val="both"/>
      </w:pPr>
      <w:r>
        <w:rPr>
          <w:rFonts w:ascii="Times New Roman" w:cs="Times New Roman" w:eastAsia="바탕" w:hAnsi="Times New Roman"/>
          <w:sz w:val="22"/>
          <w:szCs w:val="22"/>
        </w:rPr>
        <w:t xml:space="preserve">결과변수는 우울 증상 기준 충족 여부이다. PHQ-9은 최근 2주 동안의 우울 증상 9개 문항에 각 0~3점을 부여하여 합산하며(0~27점), 10점 이상을 우울 증상 기준 충족으로 정의하였다. 10점 기준은 주요우울장애에 대해 민감도와 특이도가 각각 88%로 보고된 절단점이다(Kroenke et al., 2001). 9개 문항이 모두 유효할 때만 총점을 산출하였다. PHQ-9 기준 충족은 임상 진단이 아니므로 이 연구에서는 "우울 증상 기준 충족"으로 표기하였다.</w:t>
      </w:r>
    </w:p>
    <w:p>
      <w:pPr>
        <w:pStyle w:val="Heading3"/>
        <w:keepNext/>
        <w:spacing w:line="480"/>
      </w:pPr>
      <w:r>
        <w:rPr>
          <w:rFonts w:ascii="Times New Roman" w:cs="Times New Roman" w:eastAsia="바탕" w:hAnsi="Times New Roman"/>
          <w:b/>
          <w:bCs/>
          <w:i/>
          <w:iCs/>
          <w:sz w:val="22"/>
          <w:szCs w:val="22"/>
        </w:rPr>
        <w:t xml:space="preserve">독립변수</w:t>
      </w:r>
    </w:p>
    <w:p>
      <w:pPr>
        <w:spacing w:line="480"/>
        <w:ind w:firstLine="720"/>
        <w:jc w:val="both"/>
      </w:pPr>
      <w:r>
        <w:rPr>
          <w:rFonts w:ascii="Times New Roman" w:cs="Times New Roman" w:eastAsia="바탕" w:hAnsi="Times New Roman"/>
          <w:sz w:val="22"/>
          <w:szCs w:val="22"/>
        </w:rPr>
        <w:t xml:space="preserve">이용지침서의 변수설계표에서 원시자료 201개 열의 문항과 코드표를 모두 확인한 뒤, 생물심리사회 모형과 사회생태 모형에 따라 우울 증상과 관련될 수 있는 문항을 8개 영역 66개 변수로 구성하였다(표 1, 부록 표 S1). 각 변수에는 개인이나 지역사회가 바꿀 수 있는 요인인지를 표시하였다. 현재흡연, 고위험음주, 중강도 이상 신체활동은 이용지침서의 지표 산출 코드를 그대로 적용하였다. 신체활동은 걷기·근력운동·고강도·중강도 활동 일수와 함께 IPAQ 채점 지침의 MET 가중치(고강도 8.0, 중강도 4.0, 걷기 3.3)와 1일 180분 상한 규칙으로 산출한 주간 신체활동량을 사용하였다(IPAQ Research Committee, 2005). 조합 분석에서는 걷기 실천(주 5일 이상, 1일 30분 이상) 또는 중강도 이상 신체활동 실천과 근력운동 주 2일 이상을 모두 충족한 경우를 신체활동 권고 충족으로 정의하였다(World Health Organization, 2020).</w:t>
      </w:r>
    </w:p>
    <w:p>
      <w:pPr>
        <w:keepNext/>
        <w:spacing w:after="0" w:before="240" w:line="276"/>
      </w:pPr>
      <w:r>
        <w:rPr>
          <w:rFonts w:ascii="Times New Roman" w:cs="Times New Roman" w:eastAsia="바탕" w:hAnsi="Times New Roman"/>
          <w:b/>
          <w:bCs/>
          <w:sz w:val="22"/>
          <w:szCs w:val="22"/>
        </w:rPr>
        <w:t xml:space="preserve">표 1</w:t>
      </w:r>
    </w:p>
    <w:p>
      <w:pPr>
        <w:keepNext/>
        <w:spacing w:after="120" w:before="0" w:line="276"/>
      </w:pPr>
      <w:r>
        <w:rPr>
          <w:rFonts w:ascii="Times New Roman" w:cs="Times New Roman" w:eastAsia="바탕" w:hAnsi="Times New Roman"/>
          <w:i/>
          <w:iCs/>
          <w:sz w:val="22"/>
          <w:szCs w:val="22"/>
        </w:rPr>
        <w:t xml:space="preserve">영역별 독립변수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9"/>
        <w:gridCol w:w="694"/>
        <w:gridCol w:w="781"/>
        <w:gridCol w:w="5641"/>
      </w:tblGrid>
      <w:tr>
        <w:trPr>
          <w:tblHeader/>
        </w:trPr>
        <w:tc>
          <w:tcPr>
            <w:tcW w:type="dxa" w:w="190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6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변수 수</w:t>
            </w:r>
          </w:p>
        </w:tc>
        <w:tc>
          <w:tcPr>
            <w:tcW w:type="dxa" w:w="781"/>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수정 가능</w:t>
            </w:r>
          </w:p>
        </w:tc>
        <w:tc>
          <w:tcPr>
            <w:tcW w:type="dxa" w:w="5641"/>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변수</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나이, 성별, 교육수준, 혼인상태, 세대유형</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균등화 가구소득, 기초생활수급, 가구 식품안정성, 직업, 종사상 지위</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BMI, 인지 체형, 고혈압·당뇨병·골다공증 진단, 주관적 구강건강, 저작불편, 낙상, 사고·중독</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걷기·근력운동·고강도·중강도 신체활동 일수, 주간 신체활동량, 흡연, 전자담배, 음주 빈도, 폭음, 아침식사, 체중조절, 점심 후 칫솔질</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친척·이웃·친구와 연락 빈도, 이웃 간 신뢰, 이웃 경조사 참여, 치매환자 가족</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안전·자연환경·생활환경·대중교통·의료서비스 만족, 동/읍·면, 주택유형, 시도</w:t>
            </w:r>
          </w:p>
        </w:tc>
      </w:tr>
      <w:tr>
        <w:trPr>
          <w:cantSplit/>
        </w:trPr>
        <w:tc>
          <w:tcPr>
            <w:tcW w:type="dxa" w:w="19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w:t>
            </w:r>
          </w:p>
        </w:tc>
        <w:tc>
          <w:tcPr>
            <w:tcW w:type="dxa" w:w="78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w:t>
            </w:r>
          </w:p>
        </w:tc>
        <w:tc>
          <w:tcPr>
            <w:tcW w:type="dxa" w:w="564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미충족 의료, 미충족 치과의료, 건강검진, 독감 예방접종, 보건기관 이용, 건강정보 이해능력 3문항</w:t>
            </w:r>
          </w:p>
        </w:tc>
      </w:tr>
      <w:tr>
        <w:trPr>
          <w:cantSplit/>
        </w:trPr>
        <w:tc>
          <w:tcPr>
            <w:tcW w:type="dxa" w:w="190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 (주 분석 제외)</w:t>
            </w:r>
          </w:p>
        </w:tc>
        <w:tc>
          <w:tcPr>
            <w:tcW w:type="dxa" w:w="6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81"/>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w:t>
            </w:r>
          </w:p>
        </w:tc>
        <w:tc>
          <w:tcPr>
            <w:tcW w:type="dxa" w:w="5641"/>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스트레스, 주중·주말 수면시간, 주관적 건강, EQ-5D 4개 차원, 행복감, 침상와병, 인터넷·도박으로 인한 일상 지장, 인지장애 경험</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수정 가능 = 개인이나 지역사회가 바꿀 수 있는 요인으로 분류한 변수의 수. 변수별 원본 문항, 코딩, 결측률은 부록 표 S1에 제시하였다.</w:t>
      </w:r>
    </w:p>
    <w:p>
      <w:pPr>
        <w:spacing w:line="480"/>
        <w:ind w:firstLine="720"/>
        <w:jc w:val="both"/>
      </w:pPr>
      <w:r>
        <w:rPr>
          <w:rFonts w:ascii="Times New Roman" w:cs="Times New Roman" w:eastAsia="바탕" w:hAnsi="Times New Roman"/>
          <w:sz w:val="22"/>
          <w:szCs w:val="22"/>
        </w:rPr>
        <w:t xml:space="preserve">심리·증상근접 영역은 PHQ-9 문항(수면, 피로, 흥미, 집중)과 개념이 겹치거나 우울 증상의 결과일 가능성이 커서 주 분석에서 제외하고, 포함했을 때의 결과를 별도로 보고하였다. PHQ-9 문항 자체, 우울감 경험, 우울로 인한 상담, EQ-5D 불안·우울 차원은 결과변수와 직접 겹치므로 모든 분석에서 제외하였다. 질문 분기에 따른 비해당 응답(예: 걷기 0일인 경우의 걷기 시간)은 원시자료에서 상위 문항 응답과 개인 단위로 일치하는지 확인한 뒤 해당 범주로 처리하였다.</w:t>
      </w:r>
    </w:p>
    <w:p>
      <w:pPr>
        <w:pStyle w:val="Heading3"/>
        <w:keepNext/>
        <w:spacing w:line="480"/>
      </w:pPr>
      <w:r>
        <w:rPr>
          <w:rFonts w:ascii="Times New Roman" w:cs="Times New Roman" w:eastAsia="바탕" w:hAnsi="Times New Roman"/>
          <w:b/>
          <w:bCs/>
          <w:i/>
          <w:iCs/>
          <w:sz w:val="22"/>
          <w:szCs w:val="22"/>
        </w:rPr>
        <w:t xml:space="preserve">결측 처리</w:t>
      </w:r>
    </w:p>
    <w:p>
      <w:pPr>
        <w:spacing w:line="480"/>
        <w:ind w:firstLine="720"/>
        <w:jc w:val="both"/>
      </w:pPr>
      <w:r>
        <w:rPr>
          <w:rFonts w:ascii="Times New Roman" w:cs="Times New Roman" w:eastAsia="바탕" w:hAnsi="Times New Roman"/>
          <w:sz w:val="22"/>
          <w:szCs w:val="22"/>
        </w:rPr>
        <w:t xml:space="preserve">응답 거부와 모름은 결측으로 처리하였다. 동네 인식 문항의 "모름" 응답은 이웃과의 접촉 부족을 반영할 수 있어 별도 범주로 두었다. 분석 변수의 결측률은 최대 0.86%(BMI)였다. 머신러닝에서는 학습 데이터에서만 대치값을 적합하여 수치형 변수는 중앙값과 결측 지시변수로, 범주형 변수는 최빈값으로 대치하였고, CatBoost는 내장 방식으로 처리하였다. 회귀분석은 완전 사례 227,351명(분석표본의 98.3%)을 분석하였다.</w:t>
      </w:r>
    </w:p>
    <w:p>
      <w:pPr>
        <w:pStyle w:val="Heading2"/>
        <w:keepNext/>
        <w:spacing w:line="480"/>
      </w:pPr>
      <w:r>
        <w:rPr>
          <w:rFonts w:ascii="Times New Roman" w:cs="Times New Roman" w:eastAsia="바탕" w:hAnsi="Times New Roman"/>
          <w:b/>
          <w:bCs/>
          <w:sz w:val="22"/>
          <w:szCs w:val="22"/>
        </w:rPr>
        <w:t xml:space="preserve">통계분석</w:t>
      </w:r>
    </w:p>
    <w:p>
      <w:pPr>
        <w:pStyle w:val="Heading3"/>
        <w:keepNext/>
        <w:spacing w:line="480"/>
      </w:pPr>
      <w:r>
        <w:rPr>
          <w:rFonts w:ascii="Times New Roman" w:cs="Times New Roman" w:eastAsia="바탕" w:hAnsi="Times New Roman"/>
          <w:b/>
          <w:bCs/>
          <w:i/>
          <w:iCs/>
          <w:sz w:val="22"/>
          <w:szCs w:val="22"/>
        </w:rPr>
        <w:t xml:space="preserve">기술통계와 조사설계 기반 회귀분석</w:t>
      </w:r>
    </w:p>
    <w:p>
      <w:pPr>
        <w:spacing w:line="480"/>
        <w:ind w:firstLine="720"/>
        <w:jc w:val="both"/>
      </w:pPr>
      <w:r>
        <w:rPr>
          <w:rFonts w:ascii="Times New Roman" w:cs="Times New Roman" w:eastAsia="바탕" w:hAnsi="Times New Roman"/>
          <w:sz w:val="22"/>
          <w:szCs w:val="22"/>
        </w:rPr>
        <w:t xml:space="preserve">모집단 수준의 비율은 개인 가중치를 적용하였다. 조사설계 기반 로지스틱 회귀는 가중치, 층, 집락을 반영하고 분산은 테일러 선형화로 추정하였다(Lumley, 2004). 설계 자유도는 표본지점 수에서 층 수를 뺀 값을 사용하였다. 주 분석 7개 영역의 변수를 동시에 투입하여 조정 오즈비와 95% 신뢰구간을 추정하였고, 해석을 위해 연령, 소득, BMI는 범주화하였다. 다범주 변수는 수정 Wald F 검정으로 결합 유의성을 평가하였다. 신체활동 조합 분석에서는 인구·경제·신체건강 변수를 조정한 상태에서 신체활동 권고 충족과 각 생활요인의 2×2 조합별 조정 유병률(예측 주변값)을 추정하고, 가법 척도와 승법 척도의 상호작용을 모두 검정하였다. 또한 신체활동 권고 충족과 6개 생활요인을 충족한 개수에 따른 조정 유병률을 추정하였다.</w:t>
      </w:r>
    </w:p>
    <w:p>
      <w:pPr>
        <w:pStyle w:val="Heading3"/>
        <w:keepNext/>
        <w:spacing w:line="480"/>
      </w:pPr>
      <w:r>
        <w:rPr>
          <w:rFonts w:ascii="Times New Roman" w:cs="Times New Roman" w:eastAsia="바탕" w:hAnsi="Times New Roman"/>
          <w:b/>
          <w:bCs/>
          <w:i/>
          <w:iCs/>
          <w:sz w:val="22"/>
          <w:szCs w:val="22"/>
        </w:rPr>
        <w:t xml:space="preserve">머신러닝</w:t>
      </w:r>
    </w:p>
    <w:p>
      <w:pPr>
        <w:spacing w:line="480"/>
        <w:ind w:firstLine="720"/>
        <w:jc w:val="both"/>
      </w:pPr>
      <w:r>
        <w:rPr>
          <w:rFonts w:ascii="Times New Roman" w:cs="Times New Roman" w:eastAsia="바탕" w:hAnsi="Times New Roman"/>
          <w:sz w:val="22"/>
          <w:szCs w:val="22"/>
        </w:rPr>
        <w:t xml:space="preserve">머신러닝 모형은 개인을 선별하는 도구가 아니라, 영역별로 우울 증상 구분에 기여하는 정보의 양을 비교하기 위한 분석 도구로 사용하였다. 분석표본을 가구 단위로 학습셋 184,762명(우울 증상 기준 충족 6,891명)과 시험셋 46,528명(1,813명)으로 나누었다. 알고리즘은 L2 정규화 로지스틱 회귀(나이는 3차 스플라인), CatBoost(Prokhorenkova et al., 2018), LightGBM(Ke et al., 2017), 랜덤포레스트, 다층 퍼셉트론(MLP), 사전확률만 쓰는 기준 모형을 비교하였다. 표 형식 자료에서는 트리 기반 모형이 딥러닝보다 우수한 경우가 많아(Grinsztajn et al., 2022) MLP는 비교군으로 두었다. 영역 간 비교를 공정하게 하기 위해 하이퍼파라미터는 사전에 고정하였고, 클래스 불균형 보정은 확률 보정을 해치므로 적용하지 않았다. 학습셋 안에서 가구 단위 층화 5-fold 교차검증을 수행한 뒤 학습셋 전체로 다시 학습하여 시험셋에서 한 번 평가하였다.</w:t>
      </w:r>
    </w:p>
    <w:p>
      <w:pPr>
        <w:spacing w:line="480"/>
        <w:ind w:firstLine="720"/>
        <w:jc w:val="both"/>
      </w:pPr>
      <w:r>
        <w:rPr>
          <w:rFonts w:ascii="Times New Roman" w:cs="Times New Roman" w:eastAsia="바탕" w:hAnsi="Times New Roman"/>
          <w:sz w:val="22"/>
          <w:szCs w:val="22"/>
        </w:rPr>
        <w:t xml:space="preserve">양성 비율이 낮으므로 주 평가지표는 average precision(AP, 정밀도-재현율 곡선 아래 면적)으로 하고, ROC-AUC, Brier 점수, 예측 위험 상위 10%의 정밀도와 재현율을 함께 보고하였다. 영역 기여도는 두 가지 실험으로 평가하였다. 영역 추가 실험은 인구 영역에 다른 영역을 하나씩 더했을 때의 AP 증가(단독 정보량)를, 영역 제거 실험은 주 분석 전체 모형에서 영역을 하나씩 뺐을 때의 AP 감소(다른 영역과 겹치지 않는 고유 기여)를 측정한다. 모형 간 AP 차이의 95% 신뢰구간은 같은 시험셋에서 가구 단위 부트스트랩 1,000회로 추정하였다. 변수 수준의 기여는 CatBoost의 SHAP 값으로 평가하였고(Lundberg et al., 2020), 영역별 SHAP 합계 비중과 영역 단위 순열 중요도를 함께 산출하였다. 연령대별(19~39세, 40~64세, 65세 이상)로는 해당 연령대 안에서 모형을 다시 학습하여 영역 추가 실험을 반복하였다. 모형 성능이 집단에 따라 달라지는지 확인하기 위해 성별과 연령대별 하위집단 성능(AP, ROC-AUC, 보정)도 평가하였다. 모형은 위험 확률을 출력하며, 특정 분류 임계값은 정하지 않고 예측 위험 상위 10%의 정밀도와 재현율을 보조 지표로 보고하였다. 분석에는 Python 3.11(pandas, scikit-learn 1.6.1, CatBoost 1.2.10, LightGBM 4.7.0)을 사용하였다.</w:t>
      </w:r>
    </w:p>
    <w:p>
      <w:pPr>
        <w:pStyle w:val="Heading2"/>
        <w:keepNext/>
        <w:spacing w:line="480"/>
      </w:pPr>
      <w:r>
        <w:rPr>
          <w:rFonts w:ascii="Times New Roman" w:cs="Times New Roman" w:eastAsia="바탕" w:hAnsi="Times New Roman"/>
          <w:b/>
          <w:bCs/>
          <w:sz w:val="22"/>
          <w:szCs w:val="22"/>
        </w:rPr>
        <w:t xml:space="preserve">연구윤리</w:t>
      </w:r>
    </w:p>
    <w:p>
      <w:pPr>
        <w:spacing w:line="480"/>
        <w:ind w:firstLine="720"/>
        <w:jc w:val="both"/>
      </w:pPr>
      <w:r>
        <w:rPr>
          <w:rFonts w:ascii="Times New Roman" w:cs="Times New Roman" w:eastAsia="바탕" w:hAnsi="Times New Roman"/>
          <w:sz w:val="22"/>
          <w:szCs w:val="22"/>
        </w:rPr>
        <w:t xml:space="preserve">이 연구는 개인을 식별할 수 없도록 처리된 공개 원시자료를 질병관리청의 원시자료 이용 절차에 따라 분석하였다. </w:t>
      </w:r>
      <w:r>
        <w:rPr>
          <w:rFonts w:ascii="Times New Roman" w:cs="Times New Roman" w:eastAsia="바탕" w:hAnsi="Times New Roman"/>
          <w:sz w:val="22"/>
          <w:szCs w:val="22"/>
          <w:highlight w:val="yellow"/>
        </w:rPr>
        <w:t xml:space="preserve">[소속 기관생명윤리위원회의 심의면제 확인 여부, 기관명과 번호를 기재]</w:t>
      </w:r>
      <w:r>
        <w:rPr>
          <w:rFonts w:ascii="Times New Roman" w:cs="Times New Roman" w:eastAsia="바탕" w:hAnsi="Times New Roman"/>
          <w:sz w:val="22"/>
          <w:szCs w:val="22"/>
        </w:rPr>
        <w:t xml:space="preserve"> 원시자료와 개인 단위 분석 결과는 자료 이용 규정에 따라 외부에 공유하지 않으며, 분석 코드는 </w:t>
      </w:r>
      <w:r>
        <w:rPr>
          <w:rFonts w:ascii="Times New Roman" w:cs="Times New Roman" w:eastAsia="바탕" w:hAnsi="Times New Roman"/>
          <w:sz w:val="22"/>
          <w:szCs w:val="22"/>
          <w:highlight w:val="yellow"/>
        </w:rPr>
        <w:t xml:space="preserve">[공개 여부·제공 방법을 기재]</w:t>
      </w:r>
      <w:r>
        <w:rPr>
          <w:rFonts w:ascii="Times New Roman" w:cs="Times New Roman" w:eastAsia="바탕" w:hAnsi="Times New Roman"/>
          <w:sz w:val="22"/>
          <w:szCs w:val="22"/>
        </w:rPr>
        <w:t xml:space="preserve">.</w:t>
      </w:r>
    </w:p>
    <w:p>
      <w:pPr>
        <w:pStyle w:val="Heading1"/>
        <w:keepNext/>
        <w:spacing w:line="480"/>
        <w:jc w:val="center"/>
      </w:pPr>
      <w:r>
        <w:rPr>
          <w:rFonts w:ascii="Times New Roman" w:cs="Times New Roman" w:eastAsia="바탕" w:hAnsi="Times New Roman"/>
          <w:b/>
          <w:bCs/>
          <w:sz w:val="22"/>
          <w:szCs w:val="22"/>
        </w:rPr>
        <w:t xml:space="preserve">연구결과</w:t>
      </w:r>
    </w:p>
    <w:p>
      <w:pPr>
        <w:pStyle w:val="Heading2"/>
        <w:keepNext/>
        <w:spacing w:line="480"/>
      </w:pPr>
      <w:r>
        <w:rPr>
          <w:rFonts w:ascii="Times New Roman" w:cs="Times New Roman" w:eastAsia="바탕" w:hAnsi="Times New Roman"/>
          <w:b/>
          <w:bCs/>
          <w:sz w:val="22"/>
          <w:szCs w:val="22"/>
        </w:rPr>
        <w:t xml:space="preserve">연구대상자의 특성</w:t>
      </w:r>
    </w:p>
    <w:p>
      <w:pPr>
        <w:spacing w:line="480"/>
        <w:ind w:firstLine="720"/>
        <w:jc w:val="both"/>
      </w:pPr>
      <w:r>
        <w:rPr>
          <w:rFonts w:ascii="Times New Roman" w:cs="Times New Roman" w:eastAsia="바탕" w:hAnsi="Times New Roman"/>
          <w:sz w:val="22"/>
          <w:szCs w:val="22"/>
        </w:rPr>
        <w:t xml:space="preserve">분석표본 231,290명 중 우울 증상 기준 충족자는 8,704명이었고, 가중 유병률은 3.76%였다(표 2). 비조정 분석에서 수준 간 유병률 격차가 가장 큰 주 분석 변수는 가구 식품안정성으로, 먹을 것이 자주 부족한 가구에서 29.8%, 충분한 가구에서 2.5%였다.</w:t>
      </w:r>
    </w:p>
    <w:p>
      <w:pPr>
        <w:keepNext/>
        <w:spacing w:after="0" w:before="240" w:line="276"/>
      </w:pPr>
      <w:r>
        <w:rPr>
          <w:rFonts w:ascii="Times New Roman" w:cs="Times New Roman" w:eastAsia="바탕" w:hAnsi="Times New Roman"/>
          <w:b/>
          <w:bCs/>
          <w:sz w:val="22"/>
          <w:szCs w:val="22"/>
        </w:rPr>
        <w:t xml:space="preserve">표 2</w:t>
      </w:r>
    </w:p>
    <w:p>
      <w:pPr>
        <w:keepNext/>
        <w:spacing w:after="120" w:before="0" w:line="276"/>
      </w:pPr>
      <w:r>
        <w:rPr>
          <w:rFonts w:ascii="Times New Roman" w:cs="Times New Roman" w:eastAsia="바탕" w:hAnsi="Times New Roman"/>
          <w:i/>
          <w:iCs/>
          <w:sz w:val="22"/>
          <w:szCs w:val="22"/>
        </w:rPr>
        <w:t xml:space="preserve">연구대상자의 특성과 특성별 우울 증상 기준 충족률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7"/>
        <w:gridCol w:w="1598"/>
        <w:gridCol w:w="1598"/>
        <w:gridCol w:w="1410"/>
        <w:gridCol w:w="1222"/>
      </w:tblGrid>
      <w:tr>
        <w:trPr>
          <w:tblHeader/>
        </w:trPr>
        <w:tc>
          <w:tcPr>
            <w:tcW w:type="dxa" w:w="319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특성</w:t>
            </w:r>
          </w:p>
        </w:tc>
        <w:tc>
          <w:tcPr>
            <w:tcW w:type="dxa" w:w="159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전체 n (가중 %)</w:t>
            </w:r>
          </w:p>
        </w:tc>
        <w:tc>
          <w:tcPr>
            <w:tcW w:type="dxa" w:w="159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비충족 n (가중 %)</w:t>
            </w:r>
          </w:p>
        </w:tc>
        <w:tc>
          <w:tcPr>
            <w:tcW w:type="dxa" w:w="141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충족 n (가중 %)</w:t>
            </w:r>
          </w:p>
        </w:tc>
        <w:tc>
          <w:tcPr>
            <w:tcW w:type="dxa" w:w="1222"/>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가중 유병률(%)</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연령</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19~29세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19,509 (14.4)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18,814 (14.4)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695 (14.7)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30~39세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24,207 (15.1)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23,258 (15.1)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949 (16.0)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40~49세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31,354 (17.4)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30,306 (17.5)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1,048 (15.2)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50~59세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42,607 (19.8)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41,430 (19.9)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1,177 (15.3)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60~69세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53,354 (17.3)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51,855 (17.4)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1,499 (13.8)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70~79세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38,107 (10.8)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36,578 (10.7)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1,529 (12.9)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80세 이상</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22,152 (5.3)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20,345 (5.0)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1,807 (12.1)</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성별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남</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106,662 (49.5)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103,732 (50.0)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2,930 (37.5)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여</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124,628 (50.5)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118,854 (50.0)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5,774 (62.5)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교육수준 (결측 112)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무학</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15,823 (3.0)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14,340 (2.8)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1,483 (9.2)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11.44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초졸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30,366 (7.4)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28,715 (7.2)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1,651 (12.7)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6.48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중졸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24,471 (7.4)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23,519 (7.3)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952 (9.4)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고졸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76,153 (34.5)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73,603 (34.5)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2,550 (34.3)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대졸+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84,365 (47.7)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82,300 (48.2)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2,065 (34.4)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혼인상태 (결측 26)</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배우자 동거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145,148 (60.6)</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141,391 (61.3)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3,757 (42.6)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별거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7,178 (2.5)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6,937 (2.5)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241 (2.5)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사별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27,672 (7.2)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25,641 (6.9)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2,031 (14.6)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이혼</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13,306 (5.5)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12,269 (5.2)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1,037 (11.9)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8.20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미혼</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37,960 (24.2)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36,323 (24.1)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1,637 (28.4)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균등화 가구소득(가중 5분위) (결측 439)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1분위(하)</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69,570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64,958 (19.2)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4,612 (40.7)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2분위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47,844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46,290 (20.0)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1,554 (19.6)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3분위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41,017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39,988 (20.2)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1,029 (15.4)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4분위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37,537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36,762 (20.3)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775 (12.4)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5분위(상)</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34,883 (20.0)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34,166 (20.3)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717 (11.9)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가구 식품안정성 (결측 13)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충분·다양</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162,555 (74.3)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158,731 (75.3)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3,824 (50.3)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충분·단조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59,318 (22.5)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56,045 (22.1)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3,273 (33.8)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가끔 부족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7,961 (2.7)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6,750 (2.3)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1,211 (12.0)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16.75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자주 부족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1,443 (0.5)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1,048 (0.4)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395 (3.8)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29.85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기초생활수급 (결측 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현재 수급</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11,291 (4.2)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9,638 (3.7)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1,653 (16.9)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과거 수급</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921 (0.4)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847 (0.3)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 (0.8)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8.12</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아님</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219,069 (95.5)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212,093 (96.0)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6,976 (82.3)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저작불편 (결측 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매우 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7,701 (2.0)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6,191 (1.6)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1,510 (11.4)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31,698 (10.3)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29,301 (9.8)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2,397 (23.3)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8.48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그저그럼</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31,117 (12.7)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29,805 (12.6)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1,312 (16.7)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별로 안 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71,432 (30.2)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69,672 (30.5)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1,760 (22.8)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2.84</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전혀 안 불편</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89,335 (44.7)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87,610 (45.5)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1,725 (25.7)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연간 낙상 경험 (결측 11)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33,375 (14.5)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30,471 (13.8)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2,904 (32.9)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8.50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197,904 (85.5)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192,104 (86.2)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5,800 (67.1)</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연간 미충족 의료 (결측 4)</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있음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10,351 (4.5)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8,906 (4.0)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1,445 (16.6)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없음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204,458 (87.5)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197,524 (87.8)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6,934 (78.7)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필요 없었음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16,477 (8.1)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16,153 (8.2)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324 (4.6)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신체활동 권고 충족(유산소+근력) (결측 19)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미충족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190,492 (78.3)</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182,551 (77.9)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7,941 (88.1)</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4.23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충족</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40,779 (21.7)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40,016 (22.1)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763 (11.9)</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흡연 상태 (결측 12)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비흡연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145,640 (62.1)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140,209 (62.2)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5,431 (59.2)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3.58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과거흡연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50,711 (21.8)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49,090 (21.9)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1,621 (19.2)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현재흡연</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34,927 (16.1)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33,275 (15.9)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1,652 (21.7)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아침식사 (결측 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주5~7회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154,445 (56.9)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149,306 (57.2)</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5,139 (49.2)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주3~4회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17,015 (9.1)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16,319 (9.1)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696 (9.0)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3.72</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주1~2회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15,805 (9.0)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15,108 (9.0)</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697 (9.8)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4.08</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거의 안 함</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44,024 (25.0)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41,852 (24.7)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2,172 (32.0)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4.81</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친구와 연락 빈도 (결측 119)</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월 1회 미만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48,977 (19.0)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45,216 (18.3)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3,761 (38.8)</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7.65</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월 1회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32,155 (15.1)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31,178 (15.3)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977 (12.4)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3.07</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월 2~3회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32,151 (15.5)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31,325 (15.7)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826 (11.0)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 1회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25,893 (12.1)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25,219 (12.3)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674 (8.7)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 2~3회</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38,638 (16.5)</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37,700 (16.7)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938 (11.4)</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2.60</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주 4회 이상</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53,357 (21.6)</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51,841 (21.8)</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1,516 (17.6)</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3.06</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이웃 간 신뢰 (결측 67)</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159,341 (62.8)</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154,734 (63.5)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4,607 (45.0)</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2.69</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63,852 (33.1)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60,058 (32.4)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3,794 (51.3)</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5.83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모름</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8,030 (4.1)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7,732 (4.1)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298 (3.7)</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3.42</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동네 안전 만족 (결측 22)</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예</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205,763 (87.1)</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199,115 (87.7)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6,648 (72.5)</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3.13</w:t>
            </w:r>
          </w:p>
        </w:tc>
      </w:tr>
      <w:tr>
        <w:trPr>
          <w:cantSplit/>
        </w:trPr>
        <w:tc>
          <w:tcPr>
            <w:tcW w:type="dxa" w:w="31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아니오</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23,754 (12.0)</w:t>
            </w:r>
          </w:p>
        </w:tc>
        <w:tc>
          <w:tcPr>
            <w:tcW w:type="dxa" w:w="15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21,812 (11.5)</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1,942 (26.2)</w:t>
            </w:r>
          </w:p>
        </w:tc>
        <w:tc>
          <w:tcPr>
            <w:tcW w:type="dxa" w:w="122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8.17</w:t>
            </w:r>
          </w:p>
        </w:tc>
      </w:tr>
      <w:tr>
        <w:trPr>
          <w:cantSplit/>
        </w:trPr>
        <w:tc>
          <w:tcPr>
            <w:tcW w:type="dxa" w:w="319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모름</w:t>
            </w:r>
          </w:p>
        </w:tc>
        <w:tc>
          <w:tcPr>
            <w:tcW w:type="dxa" w:w="159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1,751 (0.9)</w:t>
            </w:r>
          </w:p>
        </w:tc>
        <w:tc>
          <w:tcPr>
            <w:tcW w:type="dxa" w:w="159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1,638 (0.9)</w:t>
            </w:r>
          </w:p>
        </w:tc>
        <w:tc>
          <w:tcPr>
            <w:tcW w:type="dxa" w:w="141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113 (1.3)</w:t>
            </w:r>
          </w:p>
        </w:tc>
        <w:tc>
          <w:tcPr>
            <w:tcW w:type="dxa" w:w="1222"/>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5.71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전체 N = 231,290, 비충족 n = 222,586, 충족 n = 8,704. n은 비가중 인원, %는 개인 가중치를 적용한 열 백분율이다. 가중 유병률은 해당 수준 안에서 우울 증상 기준을 충족한 가중 비율이다. 신체활동 권고 충족 = (걷기 실천 또는 중강도 이상 신체활동 실천) 그리고 근력운동 주 2일 이상.</w:t>
      </w:r>
    </w:p>
    <w:p>
      <w:pPr>
        <w:pStyle w:val="Heading2"/>
        <w:keepNext/>
        <w:spacing w:line="480"/>
      </w:pPr>
      <w:r>
        <w:rPr>
          <w:rFonts w:ascii="Times New Roman" w:cs="Times New Roman" w:eastAsia="바탕" w:hAnsi="Times New Roman"/>
          <w:b/>
          <w:bCs/>
          <w:sz w:val="22"/>
          <w:szCs w:val="22"/>
        </w:rPr>
        <w:t xml:space="preserve">머신러닝 모형의 분류 성능</w:t>
      </w:r>
    </w:p>
    <w:p>
      <w:pPr>
        <w:spacing w:line="480"/>
        <w:ind w:firstLine="720"/>
        <w:jc w:val="both"/>
      </w:pPr>
      <w:r>
        <w:rPr>
          <w:rFonts w:ascii="Times New Roman" w:cs="Times New Roman" w:eastAsia="바탕" w:hAnsi="Times New Roman"/>
          <w:sz w:val="22"/>
          <w:szCs w:val="22"/>
        </w:rPr>
        <w:t xml:space="preserve">주 분석 7개 영역을 사용한 모형의 시험셋 AP는 CatBoost 0.283, 로지스틱 회귀 0.276, LightGBM 0.276, MLP 0.265, 랜덤포레스트 0.246였다(표 3). 상위 세 알고리즘의 차이는 0.007 이내로 작았다. 인구 영역만 사용한 CatBoost의 AP는 0.086였다. 학습셋과 시험셋의 양성률은 각각 3.73%와 3.90%로 비슷하였다. CatBoost의 시험셋 AP의 95% 신뢰구간은 [0.261, 0.305]였고, 예측 위험 상위 10%에 실제 우울 증상 기준 충족자의 53.2%가 포함되었다. 보정 기울기는 1.02, 관측 대 예측 비는 1.05로 예측 확률이 실제 비율과 잘 맞았으며, 랜덤포레스트만 보정 기울기가 1.37로 예측이 덜 극단적이었다. 하위집단별 AP는 남성 0.262, 여성 0.294, 19~39세 0.224, 40~64세 0.257, 65세 이상 0.324로 청년층에서 가장 낮았다(부록 표 S3). 심리·증상근접 영역을 추가하면 AP가 0.484로 높아졌다(ΔAP +0.201, 95% CI [0.181, 0.221]). 인구 영역과 심리·증상근접 영역만 사용해도 AP가 0.460에 이르러, 이 영역이 우울 증상과 개념적으로 많이 겹친다는 점을 보여주었다.</w:t>
      </w:r>
    </w:p>
    <w:p>
      <w:pPr>
        <w:keepNext/>
        <w:spacing w:after="0" w:before="240" w:line="276"/>
      </w:pPr>
      <w:r>
        <w:rPr>
          <w:rFonts w:ascii="Times New Roman" w:cs="Times New Roman" w:eastAsia="바탕" w:hAnsi="Times New Roman"/>
          <w:b/>
          <w:bCs/>
          <w:sz w:val="22"/>
          <w:szCs w:val="22"/>
        </w:rPr>
        <w:t xml:space="preserve">표 3</w:t>
      </w:r>
    </w:p>
    <w:p>
      <w:pPr>
        <w:keepNext/>
        <w:spacing w:after="120" w:before="0" w:line="276"/>
      </w:pPr>
      <w:r>
        <w:rPr>
          <w:rFonts w:ascii="Times New Roman" w:cs="Times New Roman" w:eastAsia="바탕" w:hAnsi="Times New Roman"/>
          <w:i/>
          <w:iCs/>
          <w:sz w:val="22"/>
          <w:szCs w:val="22"/>
        </w:rPr>
        <w:t xml:space="preserve">알고리즘별 분류 성능</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314"/>
        <w:gridCol w:w="1665"/>
        <w:gridCol w:w="1665"/>
        <w:gridCol w:w="789"/>
        <w:gridCol w:w="789"/>
        <w:gridCol w:w="876"/>
      </w:tblGrid>
      <w:tr>
        <w:trPr>
          <w:tblHeader/>
        </w:trPr>
        <w:tc>
          <w:tcPr>
            <w:tcW w:type="dxa" w:w="192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알고리즘</w:t>
            </w:r>
          </w:p>
        </w:tc>
        <w:tc>
          <w:tcPr>
            <w:tcW w:type="dxa" w:w="131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교차검증 AP (SD)</w:t>
            </w:r>
          </w:p>
        </w:tc>
        <w:tc>
          <w:tcPr>
            <w:tcW w:type="dxa" w:w="166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시험 AP [95% CI]</w:t>
            </w:r>
          </w:p>
        </w:tc>
        <w:tc>
          <w:tcPr>
            <w:tcW w:type="dxa" w:w="166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ROC-AUC [95% CI]</w:t>
            </w:r>
          </w:p>
        </w:tc>
        <w:tc>
          <w:tcPr>
            <w:tcW w:type="dxa" w:w="78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Brier</w:t>
            </w:r>
          </w:p>
        </w:tc>
        <w:tc>
          <w:tcPr>
            <w:tcW w:type="dxa" w:w="78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보정 기울기</w:t>
            </w:r>
          </w:p>
        </w:tc>
        <w:tc>
          <w:tcPr>
            <w:tcW w:type="dxa" w:w="87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상위 10% 재현율</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주 분석 (7개 영역)</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CatBoost</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0.257 (0.004)</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0.283 [0.261, 0.305]</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0.846 [0.837, 0.855]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0.0322</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53.2%</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로지스틱 회귀</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0.251 (0.004)</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0.276 [0.255, 0.300]</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0.845 [0.836, 0.854]</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0.0323</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1.01</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52.6%</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LightGBM</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0.254 (0.006)</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0.276 [0.254, 0.300]</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0.846 [0.837, 0.855]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0.0323</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0.97</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53.1%</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MLP</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0.242 (0.004)</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0.265 [0.244, 0.288]</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0.843 [0.834, 0.852]</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1.07</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52.7%</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랜덤포레스트</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0.234 (0.009)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0.246 [0.228, 0.269]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0.836 [0.826, 0.845]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0.0336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1.37</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50.5%</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기준 모형(사전확률)</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 (0.001)</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0.039 [0.037, 0.041]</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0.500 [0.500, 0.500]</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0.0374</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주 분석 + 심리·증상근접</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CatBoost</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0.468 (0.009)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0.484 [0.460, 0.507]</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0.934 [0.929, 0.939]</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74.3%</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로지스틱 회귀</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0.461 (0.005)</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0.475 [0.450, 0.499]</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0.930 [0.924, 0.935]</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0.0268</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73.1%</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LightGBM</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0.465 (0.008)</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0.483 [0.459, 0.507]</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0.934 [0.929, 0.939]</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0.96</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74.0%</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MLP</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0.452 (0.010)</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0.470 [0.444, 0.495]</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0.931 [0.925, 0.936]</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0.0269</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73.7%</w:t>
            </w:r>
          </w:p>
        </w:tc>
      </w:tr>
      <w:tr>
        <w:trPr>
          <w:cantSplit/>
        </w:trPr>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랜덤포레스트</w:t>
            </w:r>
          </w:p>
        </w:tc>
        <w:tc>
          <w:tcPr>
            <w:tcW w:type="dxa" w:w="13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0.437 (0.008)</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0.450 [0.425, 0.473]</w:t>
            </w:r>
          </w:p>
        </w:tc>
        <w:tc>
          <w:tcPr>
            <w:tcW w:type="dxa" w:w="16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0.928 [0.923, 0.934]</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0.0287</w:t>
            </w:r>
          </w:p>
        </w:tc>
        <w:tc>
          <w:tcPr>
            <w:tcW w:type="dxa" w:w="78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w:t>
            </w:r>
          </w:p>
        </w:tc>
        <w:tc>
          <w:tcPr>
            <w:tcW w:type="dxa" w:w="87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71.8%</w:t>
            </w:r>
          </w:p>
        </w:tc>
      </w:tr>
      <w:tr>
        <w:trPr>
          <w:cantSplit/>
        </w:trPr>
        <w:tc>
          <w:tcPr>
            <w:tcW w:type="dxa" w:w="192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기준 모형(사전확률)</w:t>
            </w:r>
          </w:p>
        </w:tc>
        <w:tc>
          <w:tcPr>
            <w:tcW w:type="dxa" w:w="131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 (0.001)</w:t>
            </w:r>
          </w:p>
        </w:tc>
        <w:tc>
          <w:tcPr>
            <w:tcW w:type="dxa" w:w="166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0.039 [0.037, 0.041]</w:t>
            </w:r>
          </w:p>
        </w:tc>
        <w:tc>
          <w:tcPr>
            <w:tcW w:type="dxa" w:w="166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0.500 [0.500, 0.500]</w:t>
            </w:r>
          </w:p>
        </w:tc>
        <w:tc>
          <w:tcPr>
            <w:tcW w:type="dxa" w:w="78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0.0374</w:t>
            </w:r>
          </w:p>
        </w:tc>
        <w:tc>
          <w:tcPr>
            <w:tcW w:type="dxa" w:w="78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w:t>
            </w:r>
          </w:p>
        </w:tc>
        <w:tc>
          <w:tcPr>
            <w:tcW w:type="dxa" w:w="87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AP = average precision. 교차검증은 학습셋(n = 184,762) 안의 가구 단위 층화 5-fold, 시험 지표는 시험셋(n = 46,528, 양성 1,813명)에서 1회 평가한 값이다. 무작위 분류의 AP 기준값은 시험셋 양성률(0.039)이다. 신뢰구간은 가구 단위 부트스트랩 1,000회. 보정 기울기 = 예측 확률의 로짓에 대한 관측 결과의 로지스틱 회귀 기울기(1에 가까울수록 보정이 좋음).</w:t>
      </w:r>
    </w:p>
    <w:p>
      <w:pPr>
        <w:pStyle w:val="Heading2"/>
        <w:keepNext/>
        <w:spacing w:line="480"/>
      </w:pPr>
      <w:r>
        <w:rPr>
          <w:rFonts w:ascii="Times New Roman" w:cs="Times New Roman" w:eastAsia="바탕" w:hAnsi="Times New Roman"/>
          <w:b/>
          <w:bCs/>
          <w:sz w:val="22"/>
          <w:szCs w:val="22"/>
        </w:rPr>
        <w:t xml:space="preserve">영역별 기여도</w:t>
      </w:r>
    </w:p>
    <w:p>
      <w:pPr>
        <w:spacing w:line="480"/>
        <w:ind w:firstLine="720"/>
        <w:jc w:val="both"/>
      </w:pPr>
      <w:r>
        <w:rPr>
          <w:rFonts w:ascii="Times New Roman" w:cs="Times New Roman" w:eastAsia="바탕" w:hAnsi="Times New Roman"/>
          <w:sz w:val="22"/>
          <w:szCs w:val="22"/>
        </w:rPr>
        <w:t xml:space="preserve">모든 영역은 인구 영역에 단독으로 더했을 때와 주 분석 전체 모형에서 뺐을 때 모두 AP 변화의 95% 신뢰구간이 0을 포함하지 않았다(표 4, 그림 2). 단독 정보량은 신체건강(ΔAP +0.090), 의료접근·건강정보(+0.063), 경제(+0.061), 사회관계(+0.043), 건강행태(+0.043), 생활환경(+0.022) 순이었다. 다른 영역을 모두 포함한 뒤의 고유 기여도 신체건강이 가장 컸다(+0.036). 상위 세 영역과 최하위 영역의 순위는 LightGBM과 로지스틱 회귀에서도 같았다. SHAP 합계 비중은 신체건강 22.7%, 건강행태 16.4%, 인구 14.6%, 사회관계 13.7%, 경제 13.1%, 의료접근·건강정보 10.5%, 생활환경 9.1%였다.</w:t>
      </w:r>
    </w:p>
    <w:p>
      <w:pPr>
        <w:keepNext/>
        <w:spacing w:after="0" w:before="240" w:line="276"/>
      </w:pPr>
      <w:r>
        <w:rPr>
          <w:rFonts w:ascii="Times New Roman" w:cs="Times New Roman" w:eastAsia="바탕" w:hAnsi="Times New Roman"/>
          <w:b/>
          <w:bCs/>
          <w:sz w:val="22"/>
          <w:szCs w:val="22"/>
        </w:rPr>
        <w:t xml:space="preserve">표 4</w:t>
      </w:r>
    </w:p>
    <w:p>
      <w:pPr>
        <w:keepNext/>
        <w:spacing w:after="120" w:before="0" w:line="276"/>
      </w:pPr>
      <w:r>
        <w:rPr>
          <w:rFonts w:ascii="Times New Roman" w:cs="Times New Roman" w:eastAsia="바탕" w:hAnsi="Times New Roman"/>
          <w:i/>
          <w:iCs/>
          <w:sz w:val="22"/>
          <w:szCs w:val="22"/>
        </w:rPr>
        <w:t xml:space="preserve">영역별 기여도 (CatBoost)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3"/>
        <w:gridCol w:w="2233"/>
        <w:gridCol w:w="2233"/>
        <w:gridCol w:w="1210"/>
        <w:gridCol w:w="1117"/>
      </w:tblGrid>
      <w:tr>
        <w:trPr>
          <w:tblHeader/>
        </w:trPr>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단독 정보량 ΔAP [95% CI]</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고유 기여 ΔAP [95% CI]</w:t>
            </w:r>
          </w:p>
        </w:tc>
        <w:tc>
          <w:tcPr>
            <w:tcW w:type="dxa" w:w="121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순열 중요도</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SHAP 비중</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+0.090 [0.077, 0.105]</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+0.036 [0.026, 0.046]</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0.096</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22.7%</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+0.063 [0.053, 0.076]</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+0.020 [0.012, 0.027]</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0.040</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10.5%</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+0.061 [0.050, 0.075]</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+0.018 [0.009, 0.027]</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0.055</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13.1%</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+0.043 [0.033, 0.055]</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+0.015 [0.009, 0.021]</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0.025</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13.7%</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+0.043 [0.032, 0.052]</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+0.020 [0.012, 0.028]</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0.044</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16.4%</w:t>
            </w:r>
          </w:p>
        </w:tc>
      </w:tr>
      <w:tr>
        <w:trPr>
          <w:cantSplit/>
        </w:trPr>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+0.022 [0.015, 0.031]</w:t>
            </w:r>
          </w:p>
        </w:tc>
        <w:tc>
          <w:tcPr>
            <w:tcW w:type="dxa" w:w="223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+0.009 [0.003, 0.015]</w:t>
            </w:r>
          </w:p>
        </w:tc>
        <w:tc>
          <w:tcPr>
            <w:tcW w:type="dxa" w:w="12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0.014</w:t>
            </w:r>
          </w:p>
        </w:tc>
        <w:tc>
          <w:tcPr>
            <w:tcW w:type="dxa" w:w="11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9.1%</w:t>
            </w:r>
          </w:p>
        </w:tc>
      </w:tr>
      <w:tr>
        <w:trPr>
          <w:cantSplit/>
        </w:trPr>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기준 영역</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+0.010 [0.004, 0.017]</w:t>
            </w:r>
          </w:p>
        </w:tc>
        <w:tc>
          <w:tcPr>
            <w:tcW w:type="dxa" w:w="121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0.026</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14.6%</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단독 정보량 = (인구 + 해당 영역) 모형과 인구 모형의 시험셋 AP 차이. 고유 기여 = 주 분석 전체 모형과 해당 영역을 뺀 모형의 AP 차이. 신뢰구간은 가구 단위 부트스트랩 1,000회. 순열 중요도 = 영역 안의 변수를 함께 무작위로 섞었을 때의 AP 감소(3회 평균). SHAP 비중 = 영역에 속한 변수의 평균 |SHAP| 합의 비율.</w:t>
      </w:r>
    </w:p>
    <w:p>
      <w:pPr>
        <w:keepNext/>
        <w:spacing w:after="0" w:before="240" w:line="276"/>
      </w:pPr>
      <w:r>
        <w:rPr>
          <w:rFonts w:ascii="Times New Roman" w:cs="Times New Roman" w:eastAsia="바탕" w:hAnsi="Times New Roman"/>
          <w:b/>
          <w:bCs/>
          <w:sz w:val="22"/>
          <w:szCs w:val="22"/>
        </w:rPr>
        <w:t xml:space="preserve">그림 2</w:t>
      </w:r>
    </w:p>
    <w:p>
      <w:pPr>
        <w:keepNext/>
        <w:spacing w:after="120" w:before="0" w:line="276"/>
      </w:pPr>
      <w:r>
        <w:rPr>
          <w:rFonts w:ascii="Times New Roman" w:cs="Times New Roman" w:eastAsia="바탕" w:hAnsi="Times New Roman"/>
          <w:i/>
          <w:iCs/>
          <w:sz w:val="22"/>
          <w:szCs w:val="22"/>
        </w:rPr>
        <w:t xml:space="preserve">영역별 단독 정보량과 고유 기여</w:t>
      </w:r>
    </w:p>
    <w:p>
      <w:pPr>
        <w:keepNext/>
        <w:spacing w:after="0" w:before="0" w:line="276"/>
        <w:jc w:val="center"/>
      </w:pPr>
      <w:r>
        <w:drawing>
          <wp:inline distT="0" distB="0" distL="0" distR="0">
            <wp:extent cx="5667375" cy="2066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066925"/>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막대는 CatBoost의 ΔAP와 95% 신뢰구간, 점은 LightGBM과 로지스틱 회귀의 값이다.</w:t>
      </w:r>
    </w:p>
    <w:p>
      <w:pPr>
        <w:pStyle w:val="Heading2"/>
        <w:keepNext/>
        <w:spacing w:line="480"/>
      </w:pPr>
      <w:r>
        <w:rPr>
          <w:rFonts w:ascii="Times New Roman" w:cs="Times New Roman" w:eastAsia="바탕" w:hAnsi="Times New Roman"/>
          <w:b/>
          <w:bCs/>
          <w:sz w:val="22"/>
          <w:szCs w:val="22"/>
        </w:rPr>
        <w:t xml:space="preserve">변수 수준의 관련 요인</w:t>
      </w:r>
    </w:p>
    <w:p>
      <w:pPr>
        <w:spacing w:line="480"/>
        <w:ind w:firstLine="720"/>
        <w:jc w:val="both"/>
      </w:pPr>
      <w:r>
        <w:rPr>
          <w:rFonts w:ascii="Times New Roman" w:cs="Times New Roman" w:eastAsia="바탕" w:hAnsi="Times New Roman"/>
          <w:sz w:val="22"/>
          <w:szCs w:val="22"/>
        </w:rPr>
        <w:t xml:space="preserve">CatBoost의 평균 |SHAP| 상위 10개 변수는 저작불편, 성별, 직업분류, 아침식사 빈도, 만 나이, 연간 낙상 경험, 친구와 연락 빈도, 가구 식품안정성, 본인 인지 체형, 의료진 설명 이해 어려움였다(그림 3). 7개 영역을 동시에 조정한 조사설계 기반 회귀에서 바꿀 수 있는 요인 가운데 연관이 큰 수준은 표 5와 그림 4에 제시하였다. 가구 식품 불안정(자주 부족, OR 3.24, 95% CI [2.60, 4.03]), 저작불편(매우 불편, OR 2.79, 95% CI [2.39, 3.26]), 본인 인지 체형의 양극단(매우 비만 OR 2.36, 95% CI [2.05, 2.71]; 매우 마름 OR 2.06, 95% CI [1.75, 2.42]), 미충족 의료(OR 2.15, 95% CI [1.96, 2.37]), 의료진 설명 이해의 어려움(OR 1.76, 95% CI [1.51, 2.06]), 낙상(OR 1.72, 95% CI [1.59, 1.87]), 친구와 월 1회 미만 연락(OR 1.59, 95% CI [1.42, 1.78]), 현재흡연(OR 1.45, 95% CI [1.30, 1.62]), 아침 결식(OR 1.41, 95% CI [1.30, 1.54]), 전자담배 사용(OR 1.40, 95% CI [1.24, 1.58]), 동네 안전 불만족(OR 1.38, 95% CI [1.27, 1.50]), 이웃 불신(OR 1.31, 95% CI [1.22, 1.41])이 우울 증상 기준 충족과 관련되었다. 신체활동 가운데 걷기 실천(OR 0.80, 95% CI [0.75, 0.85])과 근력운동 주 2일 이상(OR 0.85, 95% CI [0.78, 0.93])은 다른 모든 변수를 조정한 뒤에도 낮은 오즈와 관련되었으나, 중강도 이상 신체활동은 관련이 없었다(OR 1.01, 95% CI [0.93, 1.11]). 비음주자는 월 1회 이하 음주자보다 오즈가 높았고(OR 1.13, 95% CI [1.04, 1.22]), 고위험음주는 유의하지 않았다(OR 1.09, 95% CI [0.93, 1.26]). 여성의 오즈는 남성보다 높았다(OR 1.79, 95% CI [1.63, 1.97]).</w:t>
      </w:r>
    </w:p>
    <w:p>
      <w:pPr>
        <w:keepNext/>
        <w:spacing w:after="0" w:before="240" w:line="276"/>
      </w:pPr>
      <w:r>
        <w:rPr>
          <w:rFonts w:ascii="Times New Roman" w:cs="Times New Roman" w:eastAsia="바탕" w:hAnsi="Times New Roman"/>
          <w:b/>
          <w:bCs/>
          <w:sz w:val="22"/>
          <w:szCs w:val="22"/>
        </w:rPr>
        <w:t xml:space="preserve">그림 3</w:t>
      </w:r>
    </w:p>
    <w:p>
      <w:pPr>
        <w:keepNext/>
        <w:spacing w:after="120" w:before="0" w:line="276"/>
      </w:pPr>
      <w:r>
        <w:rPr>
          <w:rFonts w:ascii="Times New Roman" w:cs="Times New Roman" w:eastAsia="바탕" w:hAnsi="Times New Roman"/>
          <w:i/>
          <w:iCs/>
          <w:sz w:val="22"/>
          <w:szCs w:val="22"/>
        </w:rPr>
        <w:t xml:space="preserve">변수별 SHAP 기여도 상위 25개 (CatBoost 주 분석, 시험셋)</w:t>
      </w:r>
    </w:p>
    <w:p>
      <w:pPr>
        <w:keepNext/>
        <w:spacing w:after="0" w:before="0" w:line="276"/>
        <w:jc w:val="center"/>
      </w:pPr>
      <w:r>
        <w:drawing>
          <wp:inline distT="0" distB="0" distL="0" distR="0">
            <wp:extent cx="5667375" cy="4619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619625"/>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 = 바꿀 수 있는 요인. 색은 영역을 나타낸다.</w:t>
      </w:r>
    </w:p>
    <w:p>
      <w:pPr>
        <w:keepNext/>
        <w:spacing w:after="0" w:before="240" w:line="276"/>
      </w:pPr>
      <w:r>
        <w:rPr>
          <w:rFonts w:ascii="Times New Roman" w:cs="Times New Roman" w:eastAsia="바탕" w:hAnsi="Times New Roman"/>
          <w:b/>
          <w:bCs/>
          <w:sz w:val="22"/>
          <w:szCs w:val="22"/>
        </w:rPr>
        <w:t xml:space="preserve">표 5</w:t>
      </w:r>
    </w:p>
    <w:p>
      <w:pPr>
        <w:keepNext/>
        <w:spacing w:after="120" w:before="0" w:line="276"/>
      </w:pPr>
      <w:r>
        <w:rPr>
          <w:rFonts w:ascii="Times New Roman" w:cs="Times New Roman" w:eastAsia="바탕" w:hAnsi="Times New Roman"/>
          <w:i/>
          <w:iCs/>
          <w:sz w:val="22"/>
          <w:szCs w:val="22"/>
        </w:rPr>
        <w:t xml:space="preserve">바꿀 수 있는 요인의 조정 오즈비 (조사설계 기반 로지스틱 회귀)</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4"/>
        <w:gridCol w:w="1805"/>
        <w:gridCol w:w="993"/>
        <w:gridCol w:w="1534"/>
      </w:tblGrid>
      <w:tr>
        <w:trPr>
          <w:tblHeader/>
        </w:trPr>
        <w:tc>
          <w:tcPr>
            <w:tcW w:type="dxa" w:w="46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요인: 수준 (기준범주)</w:t>
            </w:r>
          </w:p>
        </w:tc>
        <w:tc>
          <w:tcPr>
            <w:tcW w:type="dxa" w:w="180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영역</w:t>
            </w:r>
          </w:p>
        </w:tc>
        <w:tc>
          <w:tcPr>
            <w:tcW w:type="dxa" w:w="99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조정 OR</w:t>
            </w:r>
          </w:p>
        </w:tc>
        <w:tc>
          <w:tcPr>
            <w:tcW w:type="dxa" w:w="153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95% CI</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연관이 큰 20개 수준 (p &lt; .05, |log OR| 순)</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식품안정성: 자주 부족 (기준: 충분·다양)</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3.24</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[2.60, 4.03]</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저작불편: 매우 불편 (기준: 전혀 안 불편)</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2.79</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[2.39, 3.26]</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인지 체형: 매우 비만 (기준: 보통)</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2.36</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[2.05, 2.71]</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미충족 의료: 있음 (기준: 없음)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[1.96, 2.37]</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식품안정성: 가끔 부족 (기준: 충분·다양)</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2.10</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[1.86, 2.37]</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인지 체형: 매우 마름 (기준: 보통)</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2.06</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[1.75, 2.42]</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저작불편: 불편 (기준: 전혀 안 불편)</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1.98</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[1.76, 2.23]</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의료진 설명 이해: 매우 어려움 (기준: 쉬움)</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1.76</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[1.51, 2.06]</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낙상: 예 (기준: 아니오)</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1.72</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[1.59, 1.87]</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저작불편: 그저그럼 (기준: 전혀 안 불편)</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1.65</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[1.48, 1.84]</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친구 연락: 월 1회 미만 (기준: 주 1회)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1.59</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[1.42, 1.78]</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흡연: 현재흡연 (기준: 비흡연)</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[1.30, 1.62]</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체중조절: 증량 (기준: 유지)</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[1.26, 1.68]</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점심 후 칫솔질: 점심 안 먹음 (기준: 예)</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1.69]</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미충족 의료: 필요 없었음 (기준: 없음)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0.69</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[0.60, 0.81]</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구강건강: 매우 나쁨 (기준: 보통)</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1.42</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1.62]</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아침식사: 거의 안 함 (기준: 주5~7회)</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1.41</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[1.30, 1.54]</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직업: 기능·노무 (기준: 사무)</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0.71</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[0.62, 0.81]</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전자담배: 예 (기준: 아니오)</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1.40</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[1.24, 1.58]</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동네 안전: 모름 (기준: 예)</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1.38</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 1.88]</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신체활동</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걷기 실천: 예 (기준: 아니오)</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0.80</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[0.75, 0.85]</w:t>
            </w:r>
          </w:p>
        </w:tc>
      </w:tr>
      <w:tr>
        <w:trPr>
          <w:cantSplit/>
        </w:trPr>
        <w:tc>
          <w:tcPr>
            <w:tcW w:type="dxa" w:w="46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근력운동 주2일+: 예 (기준: 아니오)</w:t>
            </w:r>
          </w:p>
        </w:tc>
        <w:tc>
          <w:tcPr>
            <w:tcW w:type="dxa" w:w="18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0.85</w:t>
            </w:r>
          </w:p>
        </w:tc>
        <w:tc>
          <w:tcPr>
            <w:tcW w:type="dxa" w:w="15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[0.78, 0.93]</w:t>
            </w:r>
          </w:p>
        </w:tc>
      </w:tr>
      <w:tr>
        <w:trPr>
          <w:cantSplit/>
        </w:trPr>
        <w:tc>
          <w:tcPr>
            <w:tcW w:type="dxa" w:w="46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ind w:left="240"/>
              <w:jc w:val="left"/>
            </w:pPr>
            <w:r>
              <w:rPr>
                <w:rFonts w:ascii="Times New Roman" w:cs="Times New Roman" w:eastAsia="바탕" w:hAnsi="Times New Roman"/>
                <w:sz w:val="18"/>
                <w:szCs w:val="18"/>
              </w:rPr>
              <w:t xml:space="preserve">중강도 이상 신체활동: 예 (기준: 아니오)</w:t>
            </w:r>
          </w:p>
        </w:tc>
        <w:tc>
          <w:tcPr>
            <w:tcW w:type="dxa" w:w="180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99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1.01</w:t>
            </w:r>
          </w:p>
        </w:tc>
        <w:tc>
          <w:tcPr>
            <w:tcW w:type="dxa" w:w="153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 1.11]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n = 227,351(완전 사례). 7개 영역의 모든 변수를 동시에 투입하였고, 가중치·층·집락을 반영하였다(테일러 선형화). 전체 계수와 변수별 결합 검정은 부록 표 S2에 제시하였다.</w:t>
      </w:r>
    </w:p>
    <w:p>
      <w:pPr>
        <w:keepNext/>
        <w:spacing w:after="0" w:before="240" w:line="276"/>
      </w:pPr>
      <w:r>
        <w:rPr>
          <w:rFonts w:ascii="Times New Roman" w:cs="Times New Roman" w:eastAsia="바탕" w:hAnsi="Times New Roman"/>
          <w:b/>
          <w:bCs/>
          <w:sz w:val="22"/>
          <w:szCs w:val="22"/>
        </w:rPr>
        <w:t xml:space="preserve">그림 4</w:t>
      </w:r>
    </w:p>
    <w:p>
      <w:pPr>
        <w:keepNext/>
        <w:spacing w:after="120" w:before="0" w:line="276"/>
      </w:pPr>
      <w:r>
        <w:rPr>
          <w:rFonts w:ascii="Times New Roman" w:cs="Times New Roman" w:eastAsia="바탕" w:hAnsi="Times New Roman"/>
          <w:i/>
          <w:iCs/>
          <w:sz w:val="22"/>
          <w:szCs w:val="22"/>
        </w:rPr>
        <w:t xml:space="preserve">바꿀 수 있는 요인의 조정 오즈비</w:t>
      </w:r>
    </w:p>
    <w:p>
      <w:pPr>
        <w:keepNext w:val="false"/>
        <w:spacing w:after="0" w:before="0" w:line="276"/>
        <w:jc w:val="center"/>
      </w:pPr>
      <w:r>
        <w:drawing>
          <wp:inline distT="0" distB="0" distL="0" distR="0">
            <wp:extent cx="5305425" cy="4762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762500"/>
                    </a:xfrm>
                    <a:prstGeom prst="rect">
                      <a:avLst/>
                    </a:prstGeom>
                  </pic:spPr>
                </pic:pic>
              </a:graphicData>
            </a:graphic>
          </wp:inline>
        </w:drawing>
      </w:r>
    </w:p>
    <w:p>
      <w:pPr>
        <w:pStyle w:val="Heading2"/>
        <w:keepNext/>
        <w:spacing w:line="480"/>
      </w:pPr>
      <w:r>
        <w:rPr>
          <w:rFonts w:ascii="Times New Roman" w:cs="Times New Roman" w:eastAsia="바탕" w:hAnsi="Times New Roman"/>
          <w:b/>
          <w:bCs/>
          <w:sz w:val="22"/>
          <w:szCs w:val="22"/>
        </w:rPr>
        <w:t xml:space="preserve">연령대별 차이</w:t>
      </w:r>
    </w:p>
    <w:p>
      <w:pPr>
        <w:spacing w:line="480"/>
        <w:ind w:firstLine="720"/>
        <w:jc w:val="both"/>
      </w:pPr>
      <w:r>
        <w:rPr>
          <w:rFonts w:ascii="Times New Roman" w:cs="Times New Roman" w:eastAsia="바탕" w:hAnsi="Times New Roman"/>
          <w:sz w:val="22"/>
          <w:szCs w:val="22"/>
        </w:rPr>
        <w:t xml:space="preserve">연령대 안에서 다시 학습한 영역 추가 실험에서 19~39세는 건강행태(ΔAP +0.051)와 신체건강(+0.052)의 정보량이 비슷하게 컸고 경제(+0.016)는 작았다. 40~64세는 경제(+0.069)가 가장 컸으며, 65세 이상은 신체건강(+0.099)과 의료접근·건강정보(+0.085)가 두드러졌다(표 6, 그림 5).</w:t>
      </w:r>
    </w:p>
    <w:p>
      <w:pPr>
        <w:keepNext/>
        <w:spacing w:after="0" w:before="240" w:line="276"/>
      </w:pPr>
      <w:r>
        <w:rPr>
          <w:rFonts w:ascii="Times New Roman" w:cs="Times New Roman" w:eastAsia="바탕" w:hAnsi="Times New Roman"/>
          <w:b/>
          <w:bCs/>
          <w:sz w:val="22"/>
          <w:szCs w:val="22"/>
        </w:rPr>
        <w:t xml:space="preserve">표 6</w:t>
      </w:r>
    </w:p>
    <w:p>
      <w:pPr>
        <w:keepNext/>
        <w:spacing w:after="120" w:before="0" w:line="276"/>
      </w:pPr>
      <w:r>
        <w:rPr>
          <w:rFonts w:ascii="Times New Roman" w:cs="Times New Roman" w:eastAsia="바탕" w:hAnsi="Times New Roman"/>
          <w:i/>
          <w:iCs/>
          <w:sz w:val="22"/>
          <w:szCs w:val="22"/>
        </w:rPr>
        <w:t xml:space="preserve">연령대별 영역 단독 정보량 (LightGBM, ΔAP)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2006"/>
        <w:gridCol w:w="2006"/>
        <w:gridCol w:w="2006"/>
      </w:tblGrid>
      <w:tr>
        <w:trPr>
          <w:tblHeader/>
        </w:trPr>
        <w:tc>
          <w:tcPr>
            <w:tcW w:type="dxa" w:w="300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200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19~39세</w:t>
            </w:r>
          </w:p>
        </w:tc>
        <w:tc>
          <w:tcPr>
            <w:tcW w:type="dxa" w:w="200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40~64세</w:t>
            </w:r>
          </w:p>
        </w:tc>
        <w:tc>
          <w:tcPr>
            <w:tcW w:type="dxa" w:w="200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65세 이상</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+0.052 [0.032, 0.081]</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+0.065 [0.045, 0.086]</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+0.099 [0.080, 0.119]</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+0.041 [0.021, 0.064]</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+0.038 [0.023, 0.055]</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+0.085 [0.064, 0.108]</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+0.016 [0.003, 0.033]</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+0.069 [0.049, 0.096]</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+0.055 [0.040, 0.072]</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+0.021 [0.007, 0.035]</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+0.041 [0.024, 0.063]</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+0.048 [0.033, 0.065]</w:t>
            </w:r>
          </w:p>
        </w:tc>
      </w:tr>
      <w:tr>
        <w:trPr>
          <w:cantSplit/>
        </w:trPr>
        <w:tc>
          <w:tcPr>
            <w:tcW w:type="dxa" w:w="300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+0.051 [0.028, 0.078]</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+0.031 [0.011, 0.051]</w:t>
            </w:r>
          </w:p>
        </w:tc>
        <w:tc>
          <w:tcPr>
            <w:tcW w:type="dxa" w:w="20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+0.048 [0.033, 0.064]</w:t>
            </w:r>
          </w:p>
        </w:tc>
      </w:tr>
      <w:tr>
        <w:trPr>
          <w:cantSplit/>
        </w:trPr>
        <w:tc>
          <w:tcPr>
            <w:tcW w:type="dxa" w:w="300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200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+0.017 [0.002, 0.035]</w:t>
            </w:r>
          </w:p>
        </w:tc>
        <w:tc>
          <w:tcPr>
            <w:tcW w:type="dxa" w:w="200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+0.016 [0.004, 0.031]</w:t>
            </w:r>
          </w:p>
        </w:tc>
        <w:tc>
          <w:tcPr>
            <w:tcW w:type="dxa" w:w="200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+0.027 [0.017, 0.039]</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각 연령대의 학습셋으로 다시 학습하고 같은 연령대의 시험셋에서 평가하였다(시험셋 n = 8,906, 20,179, 17,443). 신뢰구간은 가구 단위 부트스트랩 200회.</w:t>
      </w:r>
    </w:p>
    <w:p>
      <w:pPr>
        <w:keepNext/>
        <w:spacing w:after="0" w:before="240" w:line="276"/>
      </w:pPr>
      <w:r>
        <w:rPr>
          <w:rFonts w:ascii="Times New Roman" w:cs="Times New Roman" w:eastAsia="바탕" w:hAnsi="Times New Roman"/>
          <w:b/>
          <w:bCs/>
          <w:sz w:val="22"/>
          <w:szCs w:val="22"/>
        </w:rPr>
        <w:t xml:space="preserve">그림 5</w:t>
      </w:r>
    </w:p>
    <w:p>
      <w:pPr>
        <w:keepNext/>
        <w:spacing w:after="120" w:before="0" w:line="276"/>
      </w:pPr>
      <w:r>
        <w:rPr>
          <w:rFonts w:ascii="Times New Roman" w:cs="Times New Roman" w:eastAsia="바탕" w:hAnsi="Times New Roman"/>
          <w:i/>
          <w:iCs/>
          <w:sz w:val="22"/>
          <w:szCs w:val="22"/>
        </w:rPr>
        <w:t xml:space="preserve">연령대별 영역 기여</w:t>
      </w:r>
    </w:p>
    <w:p>
      <w:pPr>
        <w:keepNext w:val="false"/>
        <w:spacing w:after="0" w:before="0" w:line="276"/>
        <w:jc w:val="center"/>
      </w:pPr>
      <w:r>
        <w:drawing>
          <wp:inline distT="0" distB="0" distL="0" distR="0">
            <wp:extent cx="5667375" cy="2038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038350"/>
                    </a:xfrm>
                    <a:prstGeom prst="rect">
                      <a:avLst/>
                    </a:prstGeom>
                  </pic:spPr>
                </pic:pic>
              </a:graphicData>
            </a:graphic>
          </wp:inline>
        </w:drawing>
      </w:r>
    </w:p>
    <w:p>
      <w:pPr>
        <w:pStyle w:val="Heading2"/>
        <w:keepNext/>
        <w:spacing w:line="480"/>
      </w:pPr>
      <w:r>
        <w:rPr>
          <w:rFonts w:ascii="Times New Roman" w:cs="Times New Roman" w:eastAsia="바탕" w:hAnsi="Times New Roman"/>
          <w:b/>
          <w:bCs/>
          <w:sz w:val="22"/>
          <w:szCs w:val="22"/>
        </w:rPr>
        <w:t xml:space="preserve">신체활동과 생활요인의 조합</w:t>
      </w:r>
    </w:p>
    <w:p>
      <w:pPr>
        <w:spacing w:line="480"/>
        <w:ind w:firstLine="720"/>
        <w:jc w:val="both"/>
      </w:pPr>
      <w:r>
        <w:rPr>
          <w:rFonts w:ascii="Times New Roman" w:cs="Times New Roman" w:eastAsia="바탕" w:hAnsi="Times New Roman"/>
          <w:sz w:val="22"/>
          <w:szCs w:val="22"/>
        </w:rPr>
        <w:t xml:space="preserve">인구·경제·신체건강을 조정한 상태에서, 신체활동 권고 충족과 함께 충족했을 때 조정 유병률이 가장 낮은 생활요인은 이웃을 신뢰함(2.15%)이었고, 이어서 동네가 안전하다고 느낌(2.39%), 친구와 주 1회 이상 연락(2.45%) 순이었다(표 7, 그림 6). 둘 다 충족하지 않은 경우 대비 차이는 동네가 안전하다고 느낌에서 가장 컸다(-3.8%p). 심리·증상근접 변수인 주중 수면 7~9시간과의 조합은 1.97%였다. 대부분의 조합에서 가법·승법 상호작용은 유의하지 않았다. 신체활동 권고와 6개 생활요인을 충족한 개수가 많을수록 조정 유병률은 0개 13.9%, 1개 10.0%, 2개 7.3%, 3개 5.7%, 4개 3.9%, 5개 2.8%, 6~7개 2.0%로 단계적으로 낮아졌다(결합 검정 p = 1.03e-190).</w:t>
      </w:r>
    </w:p>
    <w:p>
      <w:pPr>
        <w:keepNext/>
        <w:spacing w:after="0" w:before="240" w:line="276"/>
      </w:pPr>
      <w:r>
        <w:rPr>
          <w:rFonts w:ascii="Times New Roman" w:cs="Times New Roman" w:eastAsia="바탕" w:hAnsi="Times New Roman"/>
          <w:b/>
          <w:bCs/>
          <w:sz w:val="22"/>
          <w:szCs w:val="22"/>
        </w:rPr>
        <w:t xml:space="preserve">표 7</w:t>
      </w:r>
    </w:p>
    <w:p>
      <w:pPr>
        <w:keepNext/>
        <w:spacing w:after="120" w:before="0" w:line="276"/>
      </w:pPr>
      <w:r>
        <w:rPr>
          <w:rFonts w:ascii="Times New Roman" w:cs="Times New Roman" w:eastAsia="바탕" w:hAnsi="Times New Roman"/>
          <w:i/>
          <w:iCs/>
          <w:sz w:val="22"/>
          <w:szCs w:val="22"/>
        </w:rPr>
        <w:t xml:space="preserve">신체활동 권고 충족과 생활요인 조합별 조정 유병률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5"/>
        <w:gridCol w:w="973"/>
        <w:gridCol w:w="973"/>
        <w:gridCol w:w="1858"/>
        <w:gridCol w:w="1150"/>
        <w:gridCol w:w="708"/>
        <w:gridCol w:w="708"/>
      </w:tblGrid>
      <w:tr>
        <w:trPr>
          <w:tblHeader/>
        </w:trPr>
        <w:tc>
          <w:tcPr>
            <w:tcW w:type="dxa" w:w="2655"/>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함께 충족한 생활요인</w:t>
            </w:r>
          </w:p>
        </w:tc>
        <w:tc>
          <w:tcPr>
            <w:tcW w:type="dxa" w:w="97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둘 다 충족</w:t>
            </w:r>
          </w:p>
        </w:tc>
        <w:tc>
          <w:tcPr>
            <w:tcW w:type="dxa" w:w="97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둘 다 미충족</w:t>
            </w:r>
          </w:p>
        </w:tc>
        <w:tc>
          <w:tcPr>
            <w:tcW w:type="dxa" w:w="185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차이 %p [95% CI]</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가법 상호작용 %p</w:t>
            </w:r>
          </w:p>
        </w:tc>
        <w:tc>
          <w:tcPr>
            <w:tcW w:type="dxa" w:w="70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가법 p</w:t>
            </w:r>
          </w:p>
        </w:tc>
        <w:tc>
          <w:tcPr>
            <w:tcW w:type="dxa" w:w="70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승법 p</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주중 수면 7~9시간 (증상근접)</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4.94%</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-2.97 [-3.30, -2.65]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0.041</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0.885</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이웃을 신뢰함</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4.97%</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-2.82 [-3.14, -2.51]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0.889</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0.066</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동네가 안전하다고 느낌</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2.39%</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6.17%</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-3.78 [-4.19, -3.37]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-0.35</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0.418</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0.011</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친구와 주 1회 이상 연락</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2.45%</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4.55%</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-2.11 [-2.44, -1.77]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0.43</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0.090</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0.628</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아침식사 주 5회 이상</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2.52%</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4.64%</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-2.12 [-2.47, -1.77]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0.27</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0.305</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0.932</w:t>
            </w:r>
          </w:p>
        </w:tc>
      </w:tr>
      <w:tr>
        <w:trPr>
          <w:cantSplit/>
        </w:trPr>
        <w:tc>
          <w:tcPr>
            <w:tcW w:type="dxa" w:w="2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비흡연(현재 흡연 아님)</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2.74%</w:t>
            </w:r>
          </w:p>
        </w:tc>
        <w:tc>
          <w:tcPr>
            <w:tcW w:type="dxa" w:w="9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5.21%</w:t>
            </w:r>
          </w:p>
        </w:tc>
        <w:tc>
          <w:tcPr>
            <w:tcW w:type="dxa" w:w="18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-2.47 [-2.91, -2.03]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0.33</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0.386</w:t>
            </w:r>
          </w:p>
        </w:tc>
        <w:tc>
          <w:tcPr>
            <w:tcW w:type="dxa" w:w="7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0.954</w:t>
            </w:r>
          </w:p>
        </w:tc>
      </w:tr>
      <w:tr>
        <w:trPr>
          <w:cantSplit/>
        </w:trPr>
        <w:tc>
          <w:tcPr>
            <w:tcW w:type="dxa" w:w="2655"/>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고위험음주 아님</w:t>
            </w:r>
          </w:p>
        </w:tc>
        <w:tc>
          <w:tcPr>
            <w:tcW w:type="dxa" w:w="97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2.81%</w:t>
            </w:r>
          </w:p>
        </w:tc>
        <w:tc>
          <w:tcPr>
            <w:tcW w:type="dxa" w:w="97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4.77%</w:t>
            </w:r>
          </w:p>
        </w:tc>
        <w:tc>
          <w:tcPr>
            <w:tcW w:type="dxa" w:w="185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-1.97 [-2.43, -1.50]</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-0.16</w:t>
            </w:r>
          </w:p>
        </w:tc>
        <w:tc>
          <w:tcPr>
            <w:tcW w:type="dxa" w:w="70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0.729</w:t>
            </w:r>
          </w:p>
        </w:tc>
        <w:tc>
          <w:tcPr>
            <w:tcW w:type="dxa" w:w="70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0.376</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조정 유병률은 인구·경제·신체건강 변수를 조정한 조사설계 기반 로지스틱 회귀의 예측 주변값이다. 가법 상호작용 = (둘 다 충족 − 신체활동만) − (생활요인만 − 둘 다 미충족). 승법 p = 신체활동 × 생활요인 곱항의 Wald 검정.</w:t>
      </w:r>
    </w:p>
    <w:p>
      <w:pPr>
        <w:keepNext/>
        <w:spacing w:after="0" w:before="240" w:line="276"/>
      </w:pPr>
      <w:r>
        <w:rPr>
          <w:rFonts w:ascii="Times New Roman" w:cs="Times New Roman" w:eastAsia="바탕" w:hAnsi="Times New Roman"/>
          <w:b/>
          <w:bCs/>
          <w:sz w:val="22"/>
          <w:szCs w:val="22"/>
        </w:rPr>
        <w:t xml:space="preserve">그림 6</w:t>
      </w:r>
    </w:p>
    <w:p>
      <w:pPr>
        <w:keepNext/>
        <w:spacing w:after="120" w:before="0" w:line="276"/>
      </w:pPr>
      <w:r>
        <w:rPr>
          <w:rFonts w:ascii="Times New Roman" w:cs="Times New Roman" w:eastAsia="바탕" w:hAnsi="Times New Roman"/>
          <w:i/>
          <w:iCs/>
          <w:sz w:val="22"/>
          <w:szCs w:val="22"/>
        </w:rPr>
        <w:t xml:space="preserve">신체활동과 생활요인 조합별, 건강 생활요인 개수별 조정 유병률</w:t>
      </w:r>
    </w:p>
    <w:p>
      <w:pPr>
        <w:keepNext w:val="false"/>
        <w:spacing w:after="0" w:before="0" w:line="276"/>
        <w:jc w:val="center"/>
      </w:pPr>
      <w:r>
        <w:drawing>
          <wp:inline distT="0" distB="0" distL="0" distR="0">
            <wp:extent cx="5667375"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286000"/>
                    </a:xfrm>
                    <a:prstGeom prst="rect">
                      <a:avLst/>
                    </a:prstGeom>
                  </pic:spPr>
                </pic:pic>
              </a:graphicData>
            </a:graphic>
          </wp:inline>
        </w:drawing>
      </w:r>
    </w:p>
    <w:p>
      <w:pPr>
        <w:pStyle w:val="Heading1"/>
        <w:keepNext/>
        <w:spacing w:line="480"/>
        <w:jc w:val="center"/>
      </w:pPr>
      <w:r>
        <w:rPr>
          <w:rFonts w:ascii="Times New Roman" w:cs="Times New Roman" w:eastAsia="바탕" w:hAnsi="Times New Roman"/>
          <w:b/>
          <w:bCs/>
          <w:sz w:val="22"/>
          <w:szCs w:val="22"/>
        </w:rPr>
        <w:t xml:space="preserve">논의</w:t>
      </w:r>
    </w:p>
    <w:p>
      <w:pPr>
        <w:pStyle w:val="Heading2"/>
        <w:keepNext/>
        <w:spacing w:line="480"/>
      </w:pPr>
      <w:r>
        <w:rPr>
          <w:rFonts w:ascii="Times New Roman" w:cs="Times New Roman" w:eastAsia="바탕" w:hAnsi="Times New Roman"/>
          <w:b/>
          <w:bCs/>
          <w:sz w:val="22"/>
          <w:szCs w:val="22"/>
        </w:rPr>
        <w:t xml:space="preserve">주요 결과</w:t>
      </w:r>
    </w:p>
    <w:p>
      <w:pPr>
        <w:spacing w:line="480"/>
        <w:ind w:firstLine="720"/>
        <w:jc w:val="both"/>
      </w:pPr>
      <w:r>
        <w:rPr>
          <w:rFonts w:ascii="Times New Roman" w:cs="Times New Roman" w:eastAsia="바탕" w:hAnsi="Times New Roman"/>
          <w:sz w:val="22"/>
          <w:szCs w:val="22"/>
        </w:rPr>
        <w:t xml:space="preserve">이 연구는 한국 성인 231,290명의 자료에서 우울 증상과 관련된 요인을 8개 영역 66개 변수로 분석하였다. 첫째, 우울 증상은 특정 영역 하나가 아니라 경제, 신체건강, 건강행태, 사회관계, 생활환경, 의료접근의 모든 영역과 독립적으로 관련되었다. 영역 제거 실험에서 어느 영역을 빼도 성능이 유의하게 떨어졌다는 것은 각 영역이 다른 영역으로 대체되지 않는 고유한 정보를 담고 있음을 뜻한다. 이는 우울을 생물심리사회적·생태학적 복합 현상으로 보는 관점(Engel, 1977; McLeroy et al., 1988)과 일치한다. 둘째, 영역 중에서는 신체건강의 기여가 가장 컸고, 바꿀 수 있는 요인으로는 식품 불안정, 저작불편, 미충족 의료, 사회적 연결 부족, 흡연, 아침 결식이 두드러졌다. 머신러닝의 SHAP 기여도와 조사설계 기반 회귀의 조정 오즈비가 대부분 같은 요인을 가리켜 결과의 일관성을 뒷받침하였다. 셋째, 신체활동은 다른 생활요인과 독립적으로 더해지는 양상을 보였고, 함께 충족한 건강 생활요인이 많을수록 우울 증상 비율이 단계적으로 낮았다. 넷째, 관련 영역은 연령대에 따라 달랐다.</w:t>
      </w:r>
    </w:p>
    <w:p>
      <w:pPr>
        <w:pStyle w:val="Heading2"/>
        <w:keepNext/>
        <w:spacing w:line="480"/>
      </w:pPr>
      <w:r>
        <w:rPr>
          <w:rFonts w:ascii="Times New Roman" w:cs="Times New Roman" w:eastAsia="바탕" w:hAnsi="Times New Roman"/>
          <w:b/>
          <w:bCs/>
          <w:sz w:val="22"/>
          <w:szCs w:val="22"/>
        </w:rPr>
        <w:t xml:space="preserve">선행연구와의 비교</w:t>
      </w:r>
    </w:p>
    <w:p>
      <w:pPr>
        <w:spacing w:line="480"/>
        <w:ind w:firstLine="720"/>
        <w:jc w:val="both"/>
      </w:pPr>
      <w:r>
        <w:rPr>
          <w:rFonts w:ascii="Times New Roman" w:cs="Times New Roman" w:eastAsia="바탕" w:hAnsi="Times New Roman"/>
          <w:sz w:val="22"/>
          <w:szCs w:val="22"/>
        </w:rPr>
        <w:t xml:space="preserve">식품 불안정과 우울 증상의 연관은 메타분석에서 보고된 우울 위험 증가(Pourmotabbed et al., 2020)와 같은 방향이었으며, 이 연구에서는 다른 경제 요인과 소득을 함께 조정한 뒤에도 바꿀 수 있는 요인 중 가장 큰 오즈비를 보였다. 저작불편과 구강건강의 연관은 우울·불안 장애와 치아 상실의 관련을 보고한 메타분석(Kisely et al., 2016)과 부합한다. 걷기와 근력운동이 조정 후에도 낮은 오즈와 관련된 결과는 걷기·조깅과 근력운동을 효과적인 운동 형태로 제시한 중재연구 종합(Noetel et al., 2024)과 일치한다. 친구·이웃과의 연결과 이웃 신뢰의 관련성은 사회적 연결망의 건강 경로(Berkman et al., 2000)와 노인의 사회적 연결망이 우울 증상에 보호적이었다는 국내 연구(Lee et al., 2025)를 성인 전체로 확장한 결과이다. 여러 생활요인을 함께 충족할수록 우울 증상 비율이 낮아지는 결과는 영국 코호트에서 건강한 생활요인 점수가 높을수록 우울 위험이 낮았던 결과(Zhao et al., 2023)와 같은 양상이다.</w:t>
      </w:r>
    </w:p>
    <w:p>
      <w:pPr>
        <w:spacing w:line="480"/>
        <w:ind w:firstLine="720"/>
        <w:jc w:val="both"/>
      </w:pPr>
      <w:r>
        <w:rPr>
          <w:rFonts w:ascii="Times New Roman" w:cs="Times New Roman" w:eastAsia="바탕" w:hAnsi="Times New Roman"/>
          <w:sz w:val="22"/>
          <w:szCs w:val="22"/>
        </w:rPr>
        <w:t xml:space="preserve">비음주자의 오즈가 높게 나타난 것은 건강 문제로 술을 끊은 사람이 비음주자에 섞여 생기는 이른바 sick-quitter 효과로 해석된다(Shaper et al., 1988). 따라서 이 결과를 음주가 보호요인이라는 근거로 해석해서는 안 된다. 중강도 이상 신체활동이 조정 후 관련을 보이지 않은 것은 조사 문항이 여가 운동과 직업적 신체활동을 구분하지 않기 때문일 수 있다.</w:t>
      </w:r>
    </w:p>
    <w:p>
      <w:pPr>
        <w:pStyle w:val="Heading2"/>
        <w:keepNext/>
        <w:spacing w:line="480"/>
      </w:pPr>
      <w:r>
        <w:rPr>
          <w:rFonts w:ascii="Times New Roman" w:cs="Times New Roman" w:eastAsia="바탕" w:hAnsi="Times New Roman"/>
          <w:b/>
          <w:bCs/>
          <w:sz w:val="22"/>
          <w:szCs w:val="22"/>
        </w:rPr>
        <w:t xml:space="preserve">우울 증상 극복을 위한 실천 제언</w:t>
      </w:r>
    </w:p>
    <w:p>
      <w:pPr>
        <w:spacing w:line="480"/>
        <w:ind w:firstLine="720"/>
        <w:jc w:val="both"/>
      </w:pPr>
      <w:r>
        <w:rPr>
          <w:rFonts w:ascii="Times New Roman" w:cs="Times New Roman" w:eastAsia="바탕" w:hAnsi="Times New Roman"/>
          <w:sz w:val="22"/>
          <w:szCs w:val="22"/>
        </w:rPr>
        <w:t xml:space="preserve">이 연구의 결과는 인과 효과를 입증하지 않지만, 우울 증상과 관련이 크고 바꿀 수 있는 요인을 근거로 다음과 같은 실천을 제안할 수 있다.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걷기와 근력운동을 함께 하기. </w:t>
      </w:r>
      <w:r>
        <w:rPr>
          <w:rFonts w:ascii="Times New Roman" w:cs="Times New Roman" w:eastAsia="바탕" w:hAnsi="Times New Roman"/>
          <w:sz w:val="22"/>
          <w:szCs w:val="22"/>
        </w:rPr>
        <w:t xml:space="preserve">걷기 실천과 주 2일 이상의 근력운동은 다른 요인을 모두 고려한 뒤에도 낮은 우울 증상과 관련되었다(OR 0.80, 95% CI [0.75, 0.85]; OR 0.85, 95% CI [0.78, 0.93]). 이는 중재연구의 근거(Noetel et al., 2024)와도 일치한다.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운동을 사람과의 교류와 묶기. </w:t>
      </w:r>
      <w:r>
        <w:rPr>
          <w:rFonts w:ascii="Times New Roman" w:cs="Times New Roman" w:eastAsia="바탕" w:hAnsi="Times New Roman"/>
          <w:sz w:val="22"/>
          <w:szCs w:val="22"/>
        </w:rPr>
        <w:t xml:space="preserve">신체활동과 함께 이웃 신뢰, 친구와의 주 1회 이상 연락을 충족한 집단의 조정 유병률이 가장 낮은 축에 속했다(2.15%, 2.45%). 혼자 하는 운동보다 동네 걷기 모임, 동호회처럼 교류가 있는 형태를 권한다.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여러 생활습관을 함께 지키기. </w:t>
      </w:r>
      <w:r>
        <w:rPr>
          <w:rFonts w:ascii="Times New Roman" w:cs="Times New Roman" w:eastAsia="바탕" w:hAnsi="Times New Roman"/>
          <w:sz w:val="22"/>
          <w:szCs w:val="22"/>
        </w:rPr>
        <w:t xml:space="preserve">한 가지보다 여러 가지를 함께 지킬수록 우울 증상 비율이 낮았다(0개 13.9% → 6~7개 2.0%). 규칙적인 운동과 함께 아침식사, 금연, 과음하지 않기, 적정 수면을 생활 단위로 실천하는 것이 바람직하다.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몸의 불편을 미루지 않기. </w:t>
      </w:r>
      <w:r>
        <w:rPr>
          <w:rFonts w:ascii="Times New Roman" w:cs="Times New Roman" w:eastAsia="바탕" w:hAnsi="Times New Roman"/>
          <w:sz w:val="22"/>
          <w:szCs w:val="22"/>
        </w:rPr>
        <w:t xml:space="preserve">저작불편, 구강 문제, 낙상 경험, 필요한 진료를 받지 못한 경험은 우울 증상과 강하게 관련되었다. 특히 65세 이상에서는 신체건강과 의료접근 영역의 정보량이 컸으므로 치과 진료, 낙상 예방, 의료 이용 지원이 정신건강 관리와 함께 고려되어야 한다.</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도움이 필요한 사람을 먼저 찾기. </w:t>
      </w:r>
      <w:r>
        <w:rPr>
          <w:rFonts w:ascii="Times New Roman" w:cs="Times New Roman" w:eastAsia="바탕" w:hAnsi="Times New Roman"/>
          <w:sz w:val="22"/>
          <w:szCs w:val="22"/>
        </w:rPr>
        <w:t xml:space="preserve">식품 불안정과 미충족 의료는 개인의 노력만으로 바꾸기 어려운 요인이다. 식품 지원과 의료 접근성 개선을 담당하는 지역사회 서비스가 우울 예방 측면에서도 의미가 있음을 시사한다(Pourmotabbed et al., 2020).</w:t>
      </w:r>
    </w:p>
    <w:p>
      <w:pPr>
        <w:spacing w:line="480"/>
        <w:ind w:left="720" w:hanging="360"/>
        <w:jc w:val="left"/>
      </w:pPr>
      <w:r>
        <w:rPr>
          <w:rFonts w:ascii="Times New Roman" w:cs="Times New Roman" w:eastAsia="바탕" w:hAnsi="Times New Roman"/>
          <w:sz w:val="22"/>
          <w:szCs w:val="22"/>
        </w:rPr>
        <w:t xml:space="preserve">• </w:t>
      </w:r>
      <w:r>
        <w:rPr>
          <w:rFonts w:ascii="Times New Roman" w:cs="Times New Roman" w:eastAsia="바탕" w:hAnsi="Times New Roman"/>
          <w:b/>
          <w:bCs/>
          <w:sz w:val="22"/>
          <w:szCs w:val="22"/>
        </w:rPr>
        <w:t xml:space="preserve">연령대에 맞추기. </w:t>
      </w:r>
      <w:r>
        <w:rPr>
          <w:rFonts w:ascii="Times New Roman" w:cs="Times New Roman" w:eastAsia="바탕" w:hAnsi="Times New Roman"/>
          <w:sz w:val="22"/>
          <w:szCs w:val="22"/>
        </w:rPr>
        <w:t xml:space="preserve">청년층은 생활습관, 중장년층은 경제적 안정, 노년층은 신체건강과 의료 접근을 중심으로 접근하는 것이 결과와 부합한다.</w:t>
      </w:r>
    </w:p>
    <w:p>
      <w:pPr>
        <w:pStyle w:val="Heading2"/>
        <w:keepNext/>
        <w:spacing w:line="480"/>
      </w:pPr>
      <w:r>
        <w:rPr>
          <w:rFonts w:ascii="Times New Roman" w:cs="Times New Roman" w:eastAsia="바탕" w:hAnsi="Times New Roman"/>
          <w:b/>
          <w:bCs/>
          <w:sz w:val="22"/>
          <w:szCs w:val="22"/>
        </w:rPr>
        <w:t xml:space="preserve">스포츠산업 측면의 함의</w:t>
      </w:r>
    </w:p>
    <w:p>
      <w:pPr>
        <w:spacing w:line="480"/>
        <w:ind w:firstLine="720"/>
        <w:jc w:val="both"/>
      </w:pPr>
      <w:r>
        <w:rPr>
          <w:rFonts w:ascii="Times New Roman" w:cs="Times New Roman" w:eastAsia="바탕" w:hAnsi="Times New Roman"/>
          <w:sz w:val="22"/>
          <w:szCs w:val="22"/>
        </w:rPr>
        <w:t xml:space="preserve">신체활동과 사회적 요인이 서로 독립적으로 더해지는 구조는 생활체육 프로그램을 설계할 때 운동 종목만이 아니라 참여자 간 교류를 함께 고려할 근거가 된다. 지역 생활체육 시설과 동호회는 걷기와 근력운동을 제공하는 동시에 이웃과 친구 관계를 형성하는 장이 될 수 있다(Lee &amp; Park, 2021). 다만 이러한 결합 프로그램이 실제로 우울 증상을 줄이는지는 무작위 배정 중재연구로 검증해야 한다.</w:t>
      </w:r>
    </w:p>
    <w:p>
      <w:pPr>
        <w:pStyle w:val="Heading2"/>
        <w:keepNext/>
        <w:spacing w:line="480"/>
      </w:pPr>
      <w:r>
        <w:rPr>
          <w:rFonts w:ascii="Times New Roman" w:cs="Times New Roman" w:eastAsia="바탕" w:hAnsi="Times New Roman"/>
          <w:b/>
          <w:bCs/>
          <w:sz w:val="22"/>
          <w:szCs w:val="22"/>
        </w:rPr>
        <w:t xml:space="preserve">강점과 한계</w:t>
      </w:r>
    </w:p>
    <w:p>
      <w:pPr>
        <w:spacing w:line="480"/>
        <w:ind w:firstLine="720"/>
        <w:jc w:val="both"/>
      </w:pPr>
      <w:r>
        <w:rPr>
          <w:rFonts w:ascii="Times New Roman" w:cs="Times New Roman" w:eastAsia="바탕" w:hAnsi="Times New Roman"/>
          <w:sz w:val="22"/>
          <w:szCs w:val="22"/>
        </w:rPr>
        <w:t xml:space="preserve">이 연구의 강점은 전국 단위의 대규모 표본에서 8개 영역의 변수를 한 모형에 넣어 영역의 상대적·고유 기여를 비교했다는 점, 머신러닝과 조사설계 기반 회귀라는 서로 다른 방법이 같은 요인을 가리킨다는 점을 확인했다는 점, 가구 단위 분할과 부트스트랩 신뢰구간으로 성능 추정의 누수와 불확실성을 다뤘다는 점이다. 개인 가중치와 조사설계를 반영한 추정치는 주거용 주택에 거주하는 한국 성인에게 일반화할 수 있으나, 시설 거주자 등 조사모집단에 포함되지 않은 집단에는 적용하기 어렵다.</w:t>
      </w:r>
    </w:p>
    <w:p>
      <w:pPr>
        <w:spacing w:line="480"/>
        <w:ind w:firstLine="720"/>
        <w:jc w:val="both"/>
      </w:pPr>
      <w:r>
        <w:rPr>
          <w:rFonts w:ascii="Times New Roman" w:cs="Times New Roman" w:eastAsia="바탕" w:hAnsi="Times New Roman"/>
          <w:sz w:val="22"/>
          <w:szCs w:val="22"/>
        </w:rPr>
        <w:t xml:space="preserve">한계는 다음과 같다. 첫째, 횡단면 자료이므로 우울 증상이 신체활동, 사회적 교류, 식사를 줄였을 가능성(역인과)을 배제할 수 없다. 둘째, 저작불편, 아침 결식, 체형 인식 등 일부 요인은 우울 증상의 식욕 변화나 부정적 자기평가와 겹칠 수 있다. 가장 직접적인 심리·증상근접 변수는 분리했지만 완전히 분리되었다고 보기는 어렵다. 셋째, 모든 변수가 자기보고이며 유전, 생활사건, 관계의 질 등 측정되지 않은 요인이 있다. 넷째, PHQ-9 기준 충족은 임상 진단이 아니다. 다섯째, 머신러닝 모형의 AP는 개인을 선별하는 도구로 쓰기에는 충분하지 않다. 이 연구에서 머신러닝은 영역별 정보량을 비교하는 도구로 사용되었으며, 개인 단위 판정에는 PHQ-9 자체를 사용하는 것이 적절하다. 여섯째, 분류 성능은 청년층에서 가장 낮아(부록 표 S3) 이 연령대의 우울 증상은 조사 문항으로 포착되지 않는 요인의 영향이 더 클 가능성이 있다. 일곱째, 하이퍼파라미터를 사전에 고정하여 비교의 공정성은 높였지만 각 알고리즘의 최대 성능을 보장하지는 않는다.</w:t>
      </w:r>
    </w:p>
    <w:p>
      <w:pPr>
        <w:pStyle w:val="Heading1"/>
        <w:keepNext/>
        <w:spacing w:line="480"/>
        <w:jc w:val="center"/>
      </w:pPr>
      <w:r>
        <w:rPr>
          <w:rFonts w:ascii="Times New Roman" w:cs="Times New Roman" w:eastAsia="바탕" w:hAnsi="Times New Roman"/>
          <w:b/>
          <w:bCs/>
          <w:sz w:val="22"/>
          <w:szCs w:val="22"/>
        </w:rPr>
        <w:t xml:space="preserve">결론</w:t>
      </w:r>
    </w:p>
    <w:p>
      <w:pPr>
        <w:spacing w:line="480"/>
        <w:ind w:firstLine="720"/>
        <w:jc w:val="both"/>
      </w:pPr>
      <w:r>
        <w:rPr>
          <w:rFonts w:ascii="Times New Roman" w:cs="Times New Roman" w:eastAsia="바탕" w:hAnsi="Times New Roman"/>
          <w:sz w:val="22"/>
          <w:szCs w:val="22"/>
        </w:rPr>
        <w:t xml:space="preserve">한국 성인의 우울 증상은 경제, 신체건강, 건강행태, 사회관계, 생활환경, 의료접근 영역의 요인과 독립적으로 함께 관련되는 복합 현상이었다. 신체건강 영역의 기여가 가장 컸고, 식품 불안정, 구강 문제, 미충족 의료, 사회적 연결 부족, 흡연, 아침 결식이 바꿀 수 있는 주요 관련 요인이었다. 신체활동은 사회적 교류, 식생활, 금연 등 다른 건강 생활요인과 함께 충족할수록 우울 증상 비율이 낮았다. 우울 예방 정책과 생활체육 프로그램은 단일 요인보다 여러 영역을 함께 다루는 통합적 접근을 고려할 필요가 있으며, 그 효과는 종단·중재 연구로 확인해야 한다.</w:t>
      </w:r>
    </w:p>
    <w:p>
      <w:r>
        <w:br w:type="page"/>
      </w:r>
    </w:p>
    <w:p>
      <w:pPr>
        <w:pStyle w:val="Heading1"/>
        <w:keepNext/>
        <w:spacing w:line="480"/>
        <w:jc w:val="center"/>
      </w:pPr>
      <w:r>
        <w:rPr>
          <w:rFonts w:ascii="Times New Roman" w:cs="Times New Roman" w:eastAsia="바탕" w:hAnsi="Times New Roman"/>
          <w:b/>
          <w:bCs/>
          <w:sz w:val="22"/>
          <w:szCs w:val="22"/>
        </w:rPr>
        <w:t xml:space="preserve">참고문헌</w:t>
      </w:r>
    </w:p>
    <w:p>
      <w:pPr>
        <w:spacing w:line="480"/>
        <w:ind w:left="720" w:hanging="720"/>
        <w:jc w:val="left"/>
      </w:pPr>
      <w:r>
        <w:rPr>
          <w:rFonts w:ascii="Times New Roman" w:cs="Times New Roman" w:eastAsia="바탕" w:hAnsi="Times New Roman"/>
          <w:sz w:val="22"/>
          <w:szCs w:val="22"/>
        </w:rPr>
        <w:t xml:space="preserve">질병관리청. (2025). 지역사회건강조사 2025년 원시자료 이용지침서. 질병관리청.</w:t>
      </w:r>
    </w:p>
    <w:p>
      <w:pPr>
        <w:spacing w:line="480"/>
        <w:ind w:left="720" w:hanging="720"/>
        <w:jc w:val="left"/>
      </w:pPr>
      <w:r>
        <w:rPr>
          <w:rFonts w:ascii="Times New Roman" w:cs="Times New Roman" w:eastAsia="바탕" w:hAnsi="Times New Roman"/>
          <w:sz w:val="22"/>
          <w:szCs w:val="22"/>
        </w:rPr>
        <w:t xml:space="preserve">Berkman, L. F., Glass, T., Brissette, I., &amp; Seeman, T. E. (2000). From social integration to health: Durkheim in the new millennium. Social Science &amp; Medicine, 51(6), 843–857. https://doi.org/10.1016/S0277-9536(00)00065-4</w:t>
      </w:r>
    </w:p>
    <w:p>
      <w:pPr>
        <w:spacing w:line="480"/>
        <w:ind w:left="720" w:hanging="720"/>
        <w:jc w:val="left"/>
      </w:pPr>
      <w:r>
        <w:rPr>
          <w:rFonts w:ascii="Times New Roman" w:cs="Times New Roman" w:eastAsia="바탕" w:hAnsi="Times New Roman"/>
          <w:sz w:val="22"/>
          <w:szCs w:val="22"/>
        </w:rPr>
        <w:t xml:space="preserve">Collins, G. S., Moons, K. G. M., Dhiman, P., Riley, R. D., Beam, A. L., Van Calster, B., Ghassemi, M., Liu, X., Reitsma, J. B., van Smeden, M., Boulesteix, A.-L., Camaradou, J. C., Celi, L. A., Denaxas, S., Denniston, A. K., Glocker, B., Golub, R. M., Harvey, H., Heinze, G., . . . Logullo, P. (2024). TRIPOD+AI statement: Updated guidance for reporting clinical prediction models that use regression or machine learning methods. BMJ, 385, e078378. https://doi.org/10.1136/bmj-2023-078378</w:t>
      </w:r>
    </w:p>
    <w:p>
      <w:pPr>
        <w:spacing w:line="480"/>
        <w:ind w:left="720" w:hanging="720"/>
        <w:jc w:val="left"/>
      </w:pPr>
      <w:r>
        <w:rPr>
          <w:rFonts w:ascii="Times New Roman" w:cs="Times New Roman" w:eastAsia="바탕" w:hAnsi="Times New Roman"/>
          <w:sz w:val="22"/>
          <w:szCs w:val="22"/>
        </w:rPr>
        <w:t xml:space="preserve">Engel, G. L. (1977). The need for a new medical model: A challenge for biomedicine. Science, 196(4286), 129–136. https://doi.org/10.1126/science.847460</w:t>
      </w:r>
    </w:p>
    <w:p>
      <w:pPr>
        <w:spacing w:line="480"/>
        <w:ind w:left="720" w:hanging="720"/>
        <w:jc w:val="left"/>
      </w:pPr>
      <w:r>
        <w:rPr>
          <w:rFonts w:ascii="Times New Roman" w:cs="Times New Roman" w:eastAsia="바탕" w:hAnsi="Times New Roman"/>
          <w:sz w:val="22"/>
          <w:szCs w:val="22"/>
        </w:rPr>
        <w:t xml:space="preserve">Grinsztajn, L., Oyallon, E., &amp; Varoquaux, G. (2022). Why do tree-based models still outperform deep learning on typical tabular data? In Advances in Neural Information Processing Systems 35. https://doi.org/10.48550/arXiv.2207.08815</w:t>
      </w:r>
    </w:p>
    <w:p>
      <w:pPr>
        <w:spacing w:line="480"/>
        <w:ind w:left="720" w:hanging="720"/>
        <w:jc w:val="left"/>
      </w:pPr>
      <w:r>
        <w:rPr>
          <w:rFonts w:ascii="Times New Roman" w:cs="Times New Roman" w:eastAsia="바탕" w:hAnsi="Times New Roman"/>
          <w:sz w:val="22"/>
          <w:szCs w:val="22"/>
        </w:rPr>
        <w:t xml:space="preserve">IPAQ Research Committee. (2005). Guidelines for data processing and analysis of the International Physical Activity Questionnaire (IPAQ): Short and long forms. https://biobank.ctsu.ox.ac.uk/ukb/ukb/docs/ipaq_analysis.pdf</w:t>
      </w:r>
    </w:p>
    <w:p>
      <w:pPr>
        <w:spacing w:line="480"/>
        <w:ind w:left="720" w:hanging="720"/>
        <w:jc w:val="left"/>
      </w:pPr>
      <w:r>
        <w:rPr>
          <w:rFonts w:ascii="Times New Roman" w:cs="Times New Roman" w:eastAsia="바탕" w:hAnsi="Times New Roman"/>
          <w:sz w:val="22"/>
          <w:szCs w:val="22"/>
        </w:rPr>
        <w:t xml:space="preserve">Ke, G., Meng, Q., Finley, T., Wang, T., Chen, W., Ma, W., Ye, Q., &amp; Liu, T.-Y. (2017). LightGBM: A highly efficient gradient boosting decision tree. In Advances in Neural Information Processing Systems 30.</w:t>
      </w:r>
    </w:p>
    <w:p>
      <w:pPr>
        <w:spacing w:line="480"/>
        <w:ind w:left="720" w:hanging="720"/>
        <w:jc w:val="left"/>
      </w:pPr>
      <w:r>
        <w:rPr>
          <w:rFonts w:ascii="Times New Roman" w:cs="Times New Roman" w:eastAsia="바탕" w:hAnsi="Times New Roman"/>
          <w:sz w:val="22"/>
          <w:szCs w:val="22"/>
        </w:rPr>
        <w:t xml:space="preserve">Kim, A.-Y., Nam, S.-A., Roh, S.-Y., &amp; Kim, G.-K. (2025). Patterns of physical activity and depressive symptoms among Korean adults: A descriptive cross-sectional analysis of the 2023 Korea Community Health Survey. Healthcare, 13(24), 3221. https://doi.org/10.3390/healthcare13243221</w:t>
      </w:r>
    </w:p>
    <w:p>
      <w:pPr>
        <w:spacing w:line="480"/>
        <w:ind w:left="720" w:hanging="720"/>
        <w:jc w:val="left"/>
      </w:pPr>
      <w:r>
        <w:rPr>
          <w:rFonts w:ascii="Times New Roman" w:cs="Times New Roman" w:eastAsia="바탕" w:hAnsi="Times New Roman"/>
          <w:sz w:val="22"/>
          <w:szCs w:val="22"/>
        </w:rPr>
        <w:t xml:space="preserve">Kisely, S., Sawyer, E., Siskind, D., &amp; Lalloo, R. (2016). The oral health of people with anxiety and depressive disorders: A systematic review and meta-analysis. Journal of Affective Disorders, 200, 119–132. https://doi.org/10.1016/j.jad.2016.04.040</w:t>
      </w:r>
    </w:p>
    <w:p>
      <w:pPr>
        <w:spacing w:line="480"/>
        <w:ind w:left="720" w:hanging="720"/>
        <w:jc w:val="left"/>
      </w:pPr>
      <w:r>
        <w:rPr>
          <w:rFonts w:ascii="Times New Roman" w:cs="Times New Roman" w:eastAsia="바탕" w:hAnsi="Times New Roman"/>
          <w:sz w:val="22"/>
          <w:szCs w:val="22"/>
        </w:rPr>
        <w:t xml:space="preserve">Kroenke, K., Spitzer, R. L., &amp; Williams, J. B. W. (2001). The PHQ-9: Validity of a brief depression severity measure. Journal of General Internal Medicine, 16(9), 606–613. https://doi.org/10.1046/j.1525-1497.2001.016009606.x</w:t>
      </w:r>
    </w:p>
    <w:p>
      <w:pPr>
        <w:spacing w:line="480"/>
        <w:ind w:left="720" w:hanging="720"/>
        <w:jc w:val="left"/>
      </w:pPr>
      <w:r>
        <w:rPr>
          <w:rFonts w:ascii="Times New Roman" w:cs="Times New Roman" w:eastAsia="바탕" w:hAnsi="Times New Roman"/>
          <w:sz w:val="22"/>
          <w:szCs w:val="22"/>
        </w:rPr>
        <w:t xml:space="preserve">Lee, J., Lee, J.-E., Kim, S., Min, H. S., &amp; Lee, K.-S. (2025). Social network, perceived satisfaction with neighborhoods and depressive symptoms among older adults in Korea. Scientific Reports, 15, 42319. https://doi.org/10.1038/s41598-025-26332-2</w:t>
      </w:r>
    </w:p>
    <w:p>
      <w:pPr>
        <w:spacing w:line="480"/>
        <w:ind w:left="720" w:hanging="720"/>
        <w:jc w:val="left"/>
      </w:pPr>
      <w:r>
        <w:rPr>
          <w:rFonts w:ascii="Times New Roman" w:cs="Times New Roman" w:eastAsia="바탕" w:hAnsi="Times New Roman"/>
          <w:sz w:val="22"/>
          <w:szCs w:val="22"/>
        </w:rPr>
        <w:t xml:space="preserve">Lee, Y., &amp; Park, S. (2021). Understanding of physical activity in social ecological perspective: Application of multilevel model. Frontiers in Psychology, 12, 622929. https://doi.org/10.3389/fpsyg.2021.622929</w:t>
      </w:r>
    </w:p>
    <w:p>
      <w:pPr>
        <w:spacing w:line="480"/>
        <w:ind w:left="720" w:hanging="720"/>
        <w:jc w:val="left"/>
      </w:pPr>
      <w:r>
        <w:rPr>
          <w:rFonts w:ascii="Times New Roman" w:cs="Times New Roman" w:eastAsia="바탕" w:hAnsi="Times New Roman"/>
          <w:sz w:val="22"/>
          <w:szCs w:val="22"/>
        </w:rPr>
        <w:t xml:space="preserve">Lumley, T. (2004). Analysis of complex survey samples. Journal of Statistical Software, 9(8), 1–19. https://doi.org/10.18637/jss.v009.i08</w:t>
      </w:r>
    </w:p>
    <w:p>
      <w:pPr>
        <w:spacing w:line="480"/>
        <w:ind w:left="720" w:hanging="720"/>
        <w:jc w:val="left"/>
      </w:pPr>
      <w:r>
        <w:rPr>
          <w:rFonts w:ascii="Times New Roman" w:cs="Times New Roman" w:eastAsia="바탕" w:hAnsi="Times New Roman"/>
          <w:sz w:val="22"/>
          <w:szCs w:val="22"/>
        </w:rPr>
        <w:t xml:space="preserve">Lundberg, S. M., Erion, G., Chen, H., DeGrave, A., Prutkin, J. M., Nair, B., Katz, R., Himmelfarb, J., Bansal, N., &amp; Lee, S.-I. (2020). From local explanations to global understanding with explainable AI for trees. Nature Machine Intelligence, 2(1), 56–67. https://doi.org/10.1038/s42256-019-0138-9</w:t>
      </w:r>
    </w:p>
    <w:p>
      <w:pPr>
        <w:spacing w:line="480"/>
        <w:ind w:left="720" w:hanging="720"/>
        <w:jc w:val="left"/>
      </w:pPr>
      <w:r>
        <w:rPr>
          <w:rFonts w:ascii="Times New Roman" w:cs="Times New Roman" w:eastAsia="바탕" w:hAnsi="Times New Roman"/>
          <w:sz w:val="22"/>
          <w:szCs w:val="22"/>
        </w:rPr>
        <w:t xml:space="preserve">McLeroy, K. R., Bibeau, D., Steckler, A., &amp; Glanz, K. (1988). An ecological perspective on health promotion programs. Health Education Quarterly, 15(4), 351–377. https://doi.org/10.1177/109019818801500401</w:t>
      </w:r>
    </w:p>
    <w:p>
      <w:pPr>
        <w:spacing w:line="480"/>
        <w:ind w:left="720" w:hanging="720"/>
        <w:jc w:val="left"/>
      </w:pPr>
      <w:r>
        <w:rPr>
          <w:rFonts w:ascii="Times New Roman" w:cs="Times New Roman" w:eastAsia="바탕" w:hAnsi="Times New Roman"/>
          <w:sz w:val="22"/>
          <w:szCs w:val="22"/>
        </w:rPr>
        <w:t xml:space="preserve">Noetel, M., Sanders, T., Gallardo-Gómez, D., Taylor, P., del Pozo Cruz, B., van den Hoek, D., Smith, J. J., Mahoney, J., Spathis, J., Moresi, M., Pagano, R., Pagano, L., Vasconcellos, R., Arnott, H., Varley, B., Parker, P., Biddle, S., &amp; Lonsdale, C. (2024). Effect of exercise for depression: Systematic review and network meta-analysis of randomised controlled trials. BMJ, 384, e075847. https://doi.org/10.1136/bmj-2023-075847</w:t>
      </w:r>
    </w:p>
    <w:p>
      <w:pPr>
        <w:spacing w:line="480"/>
        <w:ind w:left="720" w:hanging="720"/>
        <w:jc w:val="left"/>
      </w:pPr>
      <w:r>
        <w:rPr>
          <w:rFonts w:ascii="Times New Roman" w:cs="Times New Roman" w:eastAsia="바탕" w:hAnsi="Times New Roman"/>
          <w:sz w:val="22"/>
          <w:szCs w:val="22"/>
        </w:rPr>
        <w:t xml:space="preserve">Pourmotabbed, A., Moradi, S., Babaei, A., Ghavami, A., Mohammadi, H., Jalili, C., Symonds, M. E., &amp; Miraghajani, M. (2020). Food insecurity and mental health: A systematic review and meta-analysis. Public Health Nutrition, 23(10), 1778–1790. https://doi.org/10.1017/S136898001900435X</w:t>
      </w:r>
    </w:p>
    <w:p>
      <w:pPr>
        <w:spacing w:line="480"/>
        <w:ind w:left="720" w:hanging="720"/>
        <w:jc w:val="left"/>
      </w:pPr>
      <w:r>
        <w:rPr>
          <w:rFonts w:ascii="Times New Roman" w:cs="Times New Roman" w:eastAsia="바탕" w:hAnsi="Times New Roman"/>
          <w:sz w:val="22"/>
          <w:szCs w:val="22"/>
        </w:rPr>
        <w:t xml:space="preserve">Prokhorenkova, L., Gusev, G., Vorobev, A., Dorogush, A. V., &amp; Gulin, A. (2018). CatBoost: Unbiased boosting with categorical features. In Advances in Neural Information Processing Systems 31 (pp. 6638–6648).</w:t>
      </w:r>
    </w:p>
    <w:p>
      <w:pPr>
        <w:spacing w:line="480"/>
        <w:ind w:left="720" w:hanging="720"/>
        <w:jc w:val="left"/>
      </w:pPr>
      <w:r>
        <w:rPr>
          <w:rFonts w:ascii="Times New Roman" w:cs="Times New Roman" w:eastAsia="바탕" w:hAnsi="Times New Roman"/>
          <w:sz w:val="22"/>
          <w:szCs w:val="22"/>
        </w:rPr>
        <w:t xml:space="preserve">Shaper, A. G., Wannamethee, G., &amp; Walker, M. (1988). Alcohol and mortality in British men: Explaining the U-shaped curve. The Lancet, 2(8623), 1267–1273. https://doi.org/10.1016/S0140-6736(88)92890-5</w:t>
      </w:r>
    </w:p>
    <w:p>
      <w:pPr>
        <w:spacing w:line="480"/>
        <w:ind w:left="720" w:hanging="720"/>
        <w:jc w:val="left"/>
      </w:pPr>
      <w:r>
        <w:rPr>
          <w:rFonts w:ascii="Times New Roman" w:cs="Times New Roman" w:eastAsia="바탕" w:hAnsi="Times New Roman"/>
          <w:sz w:val="22"/>
          <w:szCs w:val="22"/>
        </w:rPr>
        <w:t xml:space="preserve">von Elm, E., Altman, D. G., Egger, M., Pocock, S. J., Gøtzsche, P. C., Vandenbroucke, J. P., &amp; STROBE Initiative. (2007). The Strengthening the Reporting of Observational Studies in Epidemiology (STROBE) statement: Guidelines for reporting observational studies. PLoS Medicine, 4(10), e296. https://doi.org/10.1371/journal.pmed.0040296</w:t>
      </w:r>
    </w:p>
    <w:p>
      <w:pPr>
        <w:spacing w:line="480"/>
        <w:ind w:left="720" w:hanging="720"/>
        <w:jc w:val="left"/>
      </w:pPr>
      <w:r>
        <w:rPr>
          <w:rFonts w:ascii="Times New Roman" w:cs="Times New Roman" w:eastAsia="바탕" w:hAnsi="Times New Roman"/>
          <w:sz w:val="22"/>
          <w:szCs w:val="22"/>
        </w:rPr>
        <w:t xml:space="preserve">World Health Organization. (2020). WHO guidelines on physical activity and sedentary behaviour. World Health Organization.</w:t>
      </w:r>
    </w:p>
    <w:p>
      <w:pPr>
        <w:spacing w:line="480"/>
        <w:ind w:left="720" w:hanging="720"/>
        <w:jc w:val="left"/>
      </w:pPr>
      <w:r>
        <w:rPr>
          <w:rFonts w:ascii="Times New Roman" w:cs="Times New Roman" w:eastAsia="바탕" w:hAnsi="Times New Roman"/>
          <w:sz w:val="22"/>
          <w:szCs w:val="22"/>
        </w:rPr>
        <w:t xml:space="preserve">Zhao, Y., Yang, L., Sahakian, B. J., Langley, C., Zhang, W., Kuo, K., Li, Z., Gan, Y., Li, Y., Zhao, Y., Yu, J., Feng, J., &amp; Cheng, W. (2023). The brain structure, immunometabolic and genetic mechanisms underlying the association between lifestyle and depression. Nature Mental Health, 1(10), 736–750. https://doi.org/10.1038/s44220-023-00120-1</w:t>
      </w:r>
    </w:p>
    <w:p>
      <w:r>
        <w:br w:type="page"/>
      </w:r>
    </w:p>
    <w:p>
      <w:pPr>
        <w:pStyle w:val="Heading1"/>
        <w:keepNext/>
        <w:spacing w:line="480"/>
        <w:jc w:val="center"/>
      </w:pPr>
      <w:r>
        <w:rPr>
          <w:rFonts w:ascii="Times New Roman" w:cs="Times New Roman" w:eastAsia="바탕" w:hAnsi="Times New Roman"/>
          <w:b/>
          <w:bCs/>
          <w:sz w:val="22"/>
          <w:szCs w:val="22"/>
        </w:rPr>
        <w:t xml:space="preserve">부록</w:t>
      </w:r>
    </w:p>
    <w:p>
      <w:pPr>
        <w:keepNext/>
        <w:spacing w:after="0" w:before="240" w:line="276"/>
      </w:pPr>
      <w:r>
        <w:rPr>
          <w:rFonts w:ascii="Times New Roman" w:cs="Times New Roman" w:eastAsia="바탕" w:hAnsi="Times New Roman"/>
          <w:b/>
          <w:bCs/>
          <w:sz w:val="22"/>
          <w:szCs w:val="22"/>
        </w:rPr>
        <w:t xml:space="preserve">표 S1</w:t>
      </w:r>
    </w:p>
    <w:p>
      <w:pPr>
        <w:keepNext/>
        <w:spacing w:after="120" w:before="0" w:line="276"/>
      </w:pPr>
      <w:r>
        <w:rPr>
          <w:rFonts w:ascii="Times New Roman" w:cs="Times New Roman" w:eastAsia="바탕" w:hAnsi="Times New Roman"/>
          <w:i/>
          <w:iCs/>
          <w:sz w:val="22"/>
          <w:szCs w:val="22"/>
        </w:rPr>
        <w:t xml:space="preserve">분석 변수 목록과 코딩</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504"/>
        <w:gridCol w:w="1337"/>
        <w:gridCol w:w="2758"/>
        <w:gridCol w:w="752"/>
        <w:gridCol w:w="836"/>
        <w:gridCol w:w="836"/>
      </w:tblGrid>
      <w:tr>
        <w:trPr>
          <w:tblHeader/>
        </w:trPr>
        <w:tc>
          <w:tcPr>
            <w:tcW w:type="dxa" w:w="1003"/>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영역</w:t>
            </w:r>
          </w:p>
        </w:tc>
        <w:tc>
          <w:tcPr>
            <w:tcW w:type="dxa" w:w="150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변수</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원본 문항</w:t>
            </w:r>
          </w:p>
        </w:tc>
        <w:tc>
          <w:tcPr>
            <w:tcW w:type="dxa" w:w="2758"/>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코딩</w:t>
            </w:r>
          </w:p>
        </w:tc>
        <w:tc>
          <w:tcPr>
            <w:tcW w:type="dxa" w:w="752"/>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모형 투입</w:t>
            </w:r>
          </w:p>
        </w:tc>
        <w:tc>
          <w:tcPr>
            <w:tcW w:type="dxa" w:w="83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수정 가능</w:t>
            </w:r>
          </w:p>
        </w:tc>
        <w:tc>
          <w:tcPr>
            <w:tcW w:type="dxa" w:w="836"/>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결측(%)</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만 나이</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age</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원본</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성별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sex</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1=남, 2=여</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교육수준 5분류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sob_01z1, sob_02z1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지침서 educ SAS 로직(1차와 동일)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혼인상태</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sod_02z3</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1=배우자 동거 … 5=미혼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인구</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세대유형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fma_19z3</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7분류</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log(1+균등화 가구 연소득)</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fma_12/13/14z1, fma_24z2, mbhld_co</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1차 2단계 소득 산출 ÷ √가구원수, log1p</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0.19</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기초생활수급</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fma_04z1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1=현재 수급, 2=과거 수급, 3=아님</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가구 식품안정성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nue_01z1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1=양·종류 충분, 2=양 충분·종류 부족, 3=가끔 부족, 4=자주 부족(클수록 불안정)</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직업분류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soa_06z2</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1~10 직업군, 0=비경제활동(원래 비해당 88)</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경제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종사상 지위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soa_07z1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1=고용주·자영업, 2=임금근로, 3=무급가족, 0=비경제활동(88)</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체질량지수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oba_02z1, oba_03z1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1차와 동일(지침서 범위 규칙)</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0.86</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본인 인지 체형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oba_01z1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마름 … 5=매우 비만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고혈압 진단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hya_04z1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당뇨병 진단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dia_04z1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골다공증 진단</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osa_04z1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0.07</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구강건강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좋음 … 5=매우 나쁨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저작불편</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orb_01z1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불편 … 5=전혀 불편하지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낙상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irb_01z1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신체건강</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사고·중독 경험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ira_01z1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주간 걷기 일수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phb_01z1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0~7(1차와 동일)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근력운동 일수 코드</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pha_19z1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1=안 함, 2=1일 … 6=5일 이상</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고강도 신체활동 일수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pha_04z1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중강도 신체활동 일수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pha_07z1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log(1+주간 신체활동량 MET-분)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pha_04~09z1, phb_01~03z1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8×고강도 + 4×중강도 + 3.3×걷기(일수×1일 분, 1일 최대 180분, IPAQ 규칙), log1p</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흡연 상태</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smf_01z1, sma_01z1, sma_03z2</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0=비흡연(평생 5갑 미만 포함), 1=과거흡연, 2=현재흡연(지침서 sm_a0100)</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전자담배 현재 사용</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sma_36/37z1, sma_08z1, sma_11z2</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궐련형 현재 사용(sm_a2700) 또는 액상형 최근 1달 사용(sm_a1000) = 1</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음주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dra_01z1, drb_01z3</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0=최근 1년 안 마심(평생 비음주 포함), 1=월1회 미만 … 5=주4회 이상</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폭음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drb_04z1(남), drb_05z1(여)</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0=최근 1년 음주 안 함, 1=폭음 전혀 없음 … 5=거의 매일 (남 7잔·여 5잔 기준)</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아침식사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nua_01z2</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1=주5~7회 … 4=거의 안 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체중조절 노력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obb_01z1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1=감량, 2=유지, 3=증량, 4=노력 안 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건강행태</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점심 후 칫솔질</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ord_01d2</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3=점심 안 먹음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친척과 연락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enb_01z1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1=월1회 미만 … 6=주4회 이상(1차와 동일)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이웃과 연락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enb_02z1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친구와 연락 빈도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enb_03z1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이웃 간 신뢰</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ena_01a1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9=모름(별도 범주)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이웃 경조사 참여</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ena_01b1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사회관계</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치매환자 가족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fma_27z1, fma_26z1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0=해당 없음, 1=치매환자 가족(비동거), 2=치매환자와 동거</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안전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ena_01c1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자연환경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ena_01d1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생활환경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ena_01e1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대중교통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ena_01f1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동네 의료서비스 만족</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ena_01g1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2=아니오, 9=모름</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동/읍·면</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DONG_TY_CODE</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1=동, 2=읍·면</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주택유형</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HOUSE_TY_CODE</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1=일반주택, 2=아파트</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시도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CTPRVN_CODE</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17개 시도 코드</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미충족 의료</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sra_01z3</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1=있음, 2=없음, 3=진료 필요 없었음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미충족 치과의료</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ore_02z2</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1=있음, 2=없음, 3=필요 없었음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최근 2년 건강검진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scb_01z1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연간 독감 예방접종</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sca_01z1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0.06</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보건기관 이용</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hma_01z3</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의료진 설명 이해 어려움</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hia_01z1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1=아주 쉽다 … 4=매우 어렵다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글로 된 건강정보 이해</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hia_02z1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 쉬움→어려움, 5=주의를 기울이지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의료접근·건강정보</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건강정보 찾기 어려움</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hia_03z1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 쉬움→어려움, 5=찾지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0.05</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스트레스</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1=대단히 많이 … 4=거의 느끼지 않음</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주중 하루 수면시간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mtc_17z1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시간(1~24), 77/99 결측</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0.02</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주말 하루 수면시간</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mtc_18z1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시간(1~24)</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0.07</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주관적 건강수준</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qoa_01z1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1=매우 좋음 … 5=매우 나쁨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운동능력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1=문제 없음 … 3=심함</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자기관리</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qoc_02z1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일상활동</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qoc_03z1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EQ-5D 통증·불편</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qoc_04z1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행복감 지수</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qoc_07z1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0~10</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수치형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0.07</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최근 1달 침상와병</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qoa_02z1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인터넷·게임·스마트폰 일상 지장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mtg_01z1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1=이용 안 함, 2=전혀 없음 … 6=거의 매일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r>
        <w:trPr>
          <w:cantSplit/>
        </w:trPr>
        <w:tc>
          <w:tcPr>
            <w:tcW w:type="dxa" w:w="100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도박으로 인한 일상 지장</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mti_01z1</w:t>
            </w:r>
          </w:p>
        </w:tc>
        <w:tc>
          <w:tcPr>
            <w:tcW w:type="dxa" w:w="27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1=도박 안 함, 2=전혀 없음 … 6=거의 매일</w:t>
            </w:r>
          </w:p>
        </w:tc>
        <w:tc>
          <w:tcPr>
            <w:tcW w:type="dxa" w:w="75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예</w:t>
            </w:r>
          </w:p>
        </w:tc>
        <w:tc>
          <w:tcPr>
            <w:tcW w:type="dxa" w:w="8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w:t>
            </w:r>
          </w:p>
        </w:tc>
      </w:tr>
      <w:tr>
        <w:trPr>
          <w:cantSplit/>
        </w:trPr>
        <w:tc>
          <w:tcPr>
            <w:tcW w:type="dxa" w:w="1003"/>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심리·증상근접</w:t>
            </w:r>
          </w:p>
        </w:tc>
        <w:tc>
          <w:tcPr>
            <w:tcW w:type="dxa" w:w="150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인지장애(기억력 감소) 경험</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mtj_05z2</w:t>
            </w:r>
          </w:p>
        </w:tc>
        <w:tc>
          <w:tcPr>
            <w:tcW w:type="dxa" w:w="2758"/>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1=예, 0=아니오, 8=비해당(40세 미만에게는 묻지 않음)</w:t>
            </w:r>
          </w:p>
        </w:tc>
        <w:tc>
          <w:tcPr>
            <w:tcW w:type="dxa" w:w="752"/>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범주형</w:t>
            </w:r>
          </w:p>
        </w:tc>
        <w:tc>
          <w:tcPr>
            <w:tcW w:type="dxa" w:w="83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아니오</w:t>
            </w:r>
          </w:p>
        </w:tc>
        <w:tc>
          <w:tcPr>
            <w:tcW w:type="dxa" w:w="83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원본 문항은 2025 지역사회건강조사 원시자료 변수명이다. 모든 코드표와 질문 분기는 이용지침서와 원시자료를 대조하여 확인하였다.</w:t>
      </w:r>
    </w:p>
    <w:p>
      <w:pPr>
        <w:keepNext/>
        <w:spacing w:after="0" w:before="240" w:line="276"/>
      </w:pPr>
      <w:r>
        <w:rPr>
          <w:rFonts w:ascii="Times New Roman" w:cs="Times New Roman" w:eastAsia="바탕" w:hAnsi="Times New Roman"/>
          <w:b/>
          <w:bCs/>
          <w:sz w:val="22"/>
          <w:szCs w:val="22"/>
        </w:rPr>
        <w:t xml:space="preserve">표 S2</w:t>
      </w:r>
    </w:p>
    <w:p>
      <w:pPr>
        <w:keepNext/>
        <w:spacing w:after="120" w:before="0" w:line="276"/>
      </w:pPr>
      <w:r>
        <w:rPr>
          <w:rFonts w:ascii="Times New Roman" w:cs="Times New Roman" w:eastAsia="바탕" w:hAnsi="Times New Roman"/>
          <w:i/>
          <w:iCs/>
          <w:sz w:val="22"/>
          <w:szCs w:val="22"/>
        </w:rPr>
        <w:t xml:space="preserve">변수별 결합 Wald 검정 (7개 영역 동시 조정 모형)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9"/>
        <w:gridCol w:w="2099"/>
        <w:gridCol w:w="1050"/>
        <w:gridCol w:w="1259"/>
        <w:gridCol w:w="1469"/>
      </w:tblGrid>
      <w:tr>
        <w:trPr>
          <w:tblHeader/>
        </w:trPr>
        <w:tc>
          <w:tcPr>
            <w:tcW w:type="dxa" w:w="314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변수</w:t>
            </w:r>
          </w:p>
        </w:tc>
        <w:tc>
          <w:tcPr>
            <w:tcW w:type="dxa" w:w="209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영역</w:t>
            </w:r>
          </w:p>
        </w:tc>
        <w:tc>
          <w:tcPr>
            <w:tcW w:type="dxa" w:w="105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자유도</w:t>
            </w:r>
          </w:p>
        </w:tc>
        <w:tc>
          <w:tcPr>
            <w:tcW w:type="dxa" w:w="125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F</w:t>
            </w:r>
          </w:p>
        </w:tc>
        <w:tc>
          <w:tcPr>
            <w:tcW w:type="dxa" w:w="1469"/>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p</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낙상</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169.4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성별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145.6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미충족 의료</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138.3</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식품안정성</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69.2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인지 체형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54.3</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골다공증</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저작불편</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51.4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걷기 실천</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45.3</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친구 연락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39.8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직업</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34.6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당뇨병</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전자담배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동네 안전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28.8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 신뢰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27.9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치매환자 가족</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의료진 설명 이해</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미충족 치과</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흡연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24.7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아침식사</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연령</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19.5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생활환경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사고·중독</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15.5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근력운동 주2일+</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13.7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점심 후 칫솔질</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구강건강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체중조절</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보건기관 이용</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9.9</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친척 연락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주택유형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0.006</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 연락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기초생활수급</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자연환경</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7.4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혼인상태</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시도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16</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건강정보 찾기</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음주 빈도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5.5</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BMI</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세대유형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5.4</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&lt; .001</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고혈압</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신체건강</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균등화 소득</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경제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3.8</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0.004</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의료서비스</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3.1</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0.047</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건강정보 글 이해</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2.6</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0.034</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고위험음주</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0.283</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동/읍면</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0.312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이웃 경조사</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사회관계</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0.383</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대중교통</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생활환경</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0.502</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교육수준</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인구</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4</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0.927</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건강검진</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0.684</w:t>
            </w:r>
          </w:p>
        </w:tc>
      </w:tr>
      <w:tr>
        <w:trPr>
          <w:cantSplit/>
        </w:trPr>
        <w:tc>
          <w:tcPr>
            <w:tcW w:type="dxa" w:w="314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중강도 이상 신체활동</w:t>
            </w:r>
          </w:p>
        </w:tc>
        <w:tc>
          <w:tcPr>
            <w:tcW w:type="dxa" w:w="20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건강행태</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w:t>
            </w:r>
          </w:p>
        </w:tc>
        <w:tc>
          <w:tcPr>
            <w:tcW w:type="dxa" w:w="1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0.758</w:t>
            </w:r>
          </w:p>
        </w:tc>
      </w:tr>
      <w:tr>
        <w:trPr>
          <w:cantSplit/>
        </w:trPr>
        <w:tc>
          <w:tcPr>
            <w:tcW w:type="dxa" w:w="314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독감접종</w:t>
            </w:r>
          </w:p>
        </w:tc>
        <w:tc>
          <w:tcPr>
            <w:tcW w:type="dxa" w:w="209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의료접근·건강정보</w:t>
            </w:r>
          </w:p>
        </w:tc>
        <w:tc>
          <w:tcPr>
            <w:tcW w:type="dxa" w:w="105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w:t>
            </w:r>
          </w:p>
        </w:tc>
        <w:tc>
          <w:tcPr>
            <w:tcW w:type="dxa" w:w="125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0.1</w:t>
            </w:r>
          </w:p>
        </w:tc>
        <w:tc>
          <w:tcPr>
            <w:tcW w:type="dxa" w:w="1469"/>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0.811</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수정 Wald F 검정(설계 자유도 기반). 변수의 모든 범주 계수가 0이라는 귀무가설을 검정한다.</w:t>
      </w:r>
    </w:p>
    <w:p>
      <w:pPr>
        <w:keepNext/>
        <w:spacing w:after="0" w:before="240" w:line="276"/>
      </w:pPr>
      <w:r>
        <w:rPr>
          <w:rFonts w:ascii="Times New Roman" w:cs="Times New Roman" w:eastAsia="바탕" w:hAnsi="Times New Roman"/>
          <w:b/>
          <w:bCs/>
          <w:sz w:val="22"/>
          <w:szCs w:val="22"/>
        </w:rPr>
        <w:t xml:space="preserve">표 S3</w:t>
      </w:r>
    </w:p>
    <w:p>
      <w:pPr>
        <w:keepNext/>
        <w:spacing w:after="120" w:before="0" w:line="276"/>
      </w:pPr>
      <w:r>
        <w:rPr>
          <w:rFonts w:ascii="Times New Roman" w:cs="Times New Roman" w:eastAsia="바탕" w:hAnsi="Times New Roman"/>
          <w:i/>
          <w:iCs/>
          <w:sz w:val="22"/>
          <w:szCs w:val="22"/>
        </w:rPr>
        <w:t xml:space="preserve">하위집단별 분류 성능 (CatBoost 주 분석, 시험셋)</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0"/>
        <w:gridCol w:w="894"/>
        <w:gridCol w:w="1340"/>
        <w:gridCol w:w="1787"/>
        <w:gridCol w:w="1787"/>
        <w:gridCol w:w="894"/>
        <w:gridCol w:w="894"/>
      </w:tblGrid>
      <w:tr>
        <w:trPr>
          <w:tblHeader/>
        </w:trPr>
        <w:tc>
          <w:tcPr>
            <w:tcW w:type="dxa" w:w="143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b/>
                <w:bCs/>
                <w:sz w:val="18"/>
                <w:szCs w:val="18"/>
              </w:rPr>
              <w:t xml:space="preserve">하위집단</w:t>
            </w:r>
          </w:p>
        </w:tc>
        <w:tc>
          <w:tcPr>
            <w:tcW w:type="dxa" w:w="8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n</w:t>
            </w:r>
          </w:p>
        </w:tc>
        <w:tc>
          <w:tcPr>
            <w:tcW w:type="dxa" w:w="134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양성 n (%)</w:t>
            </w:r>
          </w:p>
        </w:tc>
        <w:tc>
          <w:tcPr>
            <w:tcW w:type="dxa" w:w="178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AP [95% CI]</w:t>
            </w:r>
          </w:p>
        </w:tc>
        <w:tc>
          <w:tcPr>
            <w:tcW w:type="dxa" w:w="1787"/>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ROC-AUC [95% CI]</w:t>
            </w:r>
          </w:p>
        </w:tc>
        <w:tc>
          <w:tcPr>
            <w:tcW w:type="dxa" w:w="8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관측:예측</w:t>
            </w:r>
          </w:p>
        </w:tc>
        <w:tc>
          <w:tcPr>
            <w:tcW w:type="dxa" w:w="894"/>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b/>
                <w:bCs/>
                <w:sz w:val="18"/>
                <w:szCs w:val="18"/>
              </w:rPr>
              <w:t xml:space="preserve">보정 기울기</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남자</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21,514</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616 (2.9)</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0.262 [0.226, 0.296]</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0.853 [0.837, 0.868]</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1.05</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여자</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25,014</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1,197 (4.8)</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0.294 [0.269, 0.322]</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0.834 [0.823, 0.845]</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1.06</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1.01</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19~39세</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8,906</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351 (3.9)</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0.224 [0.183, 0.268]</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0.795 [0.773, 0.818]</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1.09</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0.98</w:t>
            </w:r>
          </w:p>
        </w:tc>
      </w:tr>
      <w:tr>
        <w:trPr>
          <w:cantSplit/>
        </w:trPr>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40~64세</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20,179</w:t>
            </w:r>
          </w:p>
        </w:tc>
        <w:tc>
          <w:tcPr>
            <w:tcW w:type="dxa" w:w="13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610 (3.0)</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0.257 [0.224, 0.294]</w:t>
            </w:r>
          </w:p>
        </w:tc>
        <w:tc>
          <w:tcPr>
            <w:tcW w:type="dxa" w:w="178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0.844 [0.826, 0.861]</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1.05</w:t>
            </w:r>
          </w:p>
        </w:tc>
        <w:tc>
          <w:tcPr>
            <w:tcW w:type="dxa" w:w="8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1.02</w:t>
            </w:r>
          </w:p>
        </w:tc>
      </w:tr>
      <w:tr>
        <w:trPr>
          <w:cantSplit/>
        </w:trPr>
        <w:tc>
          <w:tcPr>
            <w:tcW w:type="dxa" w:w="143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left"/>
            </w:pPr>
            <w:r>
              <w:rPr>
                <w:rFonts w:ascii="Times New Roman" w:cs="Times New Roman" w:eastAsia="바탕" w:hAnsi="Times New Roman"/>
                <w:sz w:val="18"/>
                <w:szCs w:val="18"/>
              </w:rPr>
              <w:t xml:space="preserve">65세 이상</w:t>
            </w:r>
          </w:p>
        </w:tc>
        <w:tc>
          <w:tcPr>
            <w:tcW w:type="dxa" w:w="8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17,443</w:t>
            </w:r>
          </w:p>
        </w:tc>
        <w:tc>
          <w:tcPr>
            <w:tcW w:type="dxa" w:w="134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852 (4.9)</w:t>
            </w:r>
          </w:p>
        </w:tc>
        <w:tc>
          <w:tcPr>
            <w:tcW w:type="dxa" w:w="178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0.324 [0.291, 0.359]</w:t>
            </w:r>
          </w:p>
        </w:tc>
        <w:tc>
          <w:tcPr>
            <w:tcW w:type="dxa" w:w="178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0.860 [0.847, 0.872]</w:t>
            </w:r>
          </w:p>
        </w:tc>
        <w:tc>
          <w:tcPr>
            <w:tcW w:type="dxa" w:w="8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w:t>
            </w:r>
          </w:p>
        </w:tc>
        <w:tc>
          <w:tcPr>
            <w:tcW w:type="dxa" w:w="8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before="0" w:line="276"/>
              <w:jc w:val="center"/>
            </w:pPr>
            <w:r>
              <w:rPr>
                <w:rFonts w:ascii="Times New Roman" w:cs="Times New Roman" w:eastAsia="바탕" w:hAnsi="Times New Roman"/>
                <w:sz w:val="18"/>
                <w:szCs w:val="18"/>
              </w:rPr>
              <w:t xml:space="preserve">1.04</w:t>
            </w:r>
          </w:p>
        </w:tc>
      </w:tr>
    </w:tbl>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AP는 양성률의 영향을 받으므로 하위집단 간 비교에는 ROC-AUC를 함께 보아야 한다. 신뢰구간은 가구 단위 부트스트랩 500회.</w:t>
      </w:r>
    </w:p>
    <w:p>
      <w:pPr>
        <w:keepNext/>
        <w:spacing w:after="0" w:before="240" w:line="276"/>
      </w:pPr>
      <w:r>
        <w:rPr>
          <w:rFonts w:ascii="Times New Roman" w:cs="Times New Roman" w:eastAsia="바탕" w:hAnsi="Times New Roman"/>
          <w:b/>
          <w:bCs/>
          <w:sz w:val="22"/>
          <w:szCs w:val="22"/>
        </w:rPr>
        <w:t xml:space="preserve">그림 S1</w:t>
      </w:r>
    </w:p>
    <w:p>
      <w:pPr>
        <w:keepNext/>
        <w:spacing w:after="120" w:before="0" w:line="276"/>
      </w:pPr>
      <w:r>
        <w:rPr>
          <w:rFonts w:ascii="Times New Roman" w:cs="Times New Roman" w:eastAsia="바탕" w:hAnsi="Times New Roman"/>
          <w:i/>
          <w:iCs/>
          <w:sz w:val="22"/>
          <w:szCs w:val="22"/>
        </w:rPr>
        <w:t xml:space="preserve">알고리즘별 시험셋 AP와 ROC-AUC</w:t>
      </w:r>
    </w:p>
    <w:p>
      <w:pPr>
        <w:keepNext w:val="false"/>
        <w:spacing w:after="0" w:before="0" w:line="276"/>
        <w:jc w:val="center"/>
      </w:pPr>
      <w:r>
        <w:drawing>
          <wp:inline distT="0" distB="0" distL="0" distR="0">
            <wp:extent cx="5667375" cy="1952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952625"/>
                    </a:xfrm>
                    <a:prstGeom prst="rect">
                      <a:avLst/>
                    </a:prstGeom>
                  </pic:spPr>
                </pic:pic>
              </a:graphicData>
            </a:graphic>
          </wp:inline>
        </w:drawing>
      </w:r>
    </w:p>
    <w:p>
      <w:pPr>
        <w:keepNext/>
        <w:spacing w:after="0" w:before="240" w:line="276"/>
      </w:pPr>
      <w:r>
        <w:rPr>
          <w:rFonts w:ascii="Times New Roman" w:cs="Times New Roman" w:eastAsia="바탕" w:hAnsi="Times New Roman"/>
          <w:b/>
          <w:bCs/>
          <w:sz w:val="22"/>
          <w:szCs w:val="22"/>
        </w:rPr>
        <w:t xml:space="preserve">그림 S2</w:t>
      </w:r>
    </w:p>
    <w:p>
      <w:pPr>
        <w:keepNext/>
        <w:spacing w:after="120" w:before="0" w:line="276"/>
      </w:pPr>
      <w:r>
        <w:rPr>
          <w:rFonts w:ascii="Times New Roman" w:cs="Times New Roman" w:eastAsia="바탕" w:hAnsi="Times New Roman"/>
          <w:i/>
          <w:iCs/>
          <w:sz w:val="22"/>
          <w:szCs w:val="22"/>
        </w:rPr>
        <w:t xml:space="preserve">변수별 비조정 우울 증상 기준 충족률 격차</w:t>
      </w:r>
    </w:p>
    <w:p>
      <w:pPr>
        <w:keepNext/>
        <w:spacing w:after="0" w:before="0" w:line="276"/>
        <w:jc w:val="center"/>
      </w:pPr>
      <w:r>
        <w:drawing>
          <wp:inline distT="0" distB="0" distL="0" distR="0">
            <wp:extent cx="4752975" cy="6457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6457950"/>
                    </a:xfrm>
                    <a:prstGeom prst="rect">
                      <a:avLst/>
                    </a:prstGeom>
                  </pic:spPr>
                </pic:pic>
              </a:graphicData>
            </a:graphic>
          </wp:inline>
        </w:drawing>
      </w:r>
    </w:p>
    <w:p>
      <w:pPr>
        <w:spacing w:after="240" w:before="80" w:line="276"/>
      </w:pPr>
      <w:r>
        <w:rPr>
          <w:rFonts w:ascii="Times New Roman" w:cs="Times New Roman" w:eastAsia="바탕" w:hAnsi="Times New Roman"/>
          <w:i/>
          <w:iCs/>
          <w:sz w:val="18"/>
          <w:szCs w:val="18"/>
        </w:rPr>
        <w:t xml:space="preserve">주. </w:t>
      </w:r>
      <w:r>
        <w:rPr>
          <w:rFonts w:ascii="Times New Roman" w:cs="Times New Roman" w:eastAsia="바탕" w:hAnsi="Times New Roman"/>
          <w:sz w:val="18"/>
          <w:szCs w:val="18"/>
        </w:rPr>
        <w:t xml:space="preserve">수준 간 최고와 최저 가중 유병률의 차이(%p). 표본 500명 이상인 수준만 비교하였다.</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바탕" w:hAnsi="Times New Roman"/>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바탕" w:hAnsi="Times New Roman"/>
      <w:b/>
      <w:bCs/>
      <w:sz w:val="22"/>
      <w:szCs w:val="22"/>
    </w:rPr>
  </w:style>
  <w:style w:type="paragraph" w:styleId="Heading2">
    <w:name w:val="Heading 2"/>
    <w:basedOn w:val="Normal"/>
    <w:next w:val="Normal"/>
    <w:qFormat/>
    <w:pPr>
      <w:outlineLvl w:val="1"/>
    </w:pPr>
    <w:rPr>
      <w:rFonts w:ascii="Times New Roman" w:cs="Times New Roman" w:eastAsia="바탕" w:hAnsi="Times New Roman"/>
      <w:b/>
      <w:bCs/>
      <w:sz w:val="22"/>
      <w:szCs w:val="22"/>
    </w:rPr>
  </w:style>
  <w:style w:type="paragraph" w:styleId="Heading3">
    <w:name w:val="Heading 3"/>
    <w:basedOn w:val="Normal"/>
    <w:next w:val="Normal"/>
    <w:qFormat/>
    <w:pPr>
      <w:outlineLvl w:val="2"/>
    </w:pPr>
    <w:rPr>
      <w:rFonts w:ascii="Times New Roman" w:cs="Times New Roman" w:eastAsia="바탕"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312d37a785b7a74b5b6141f32443063ae10449c7.png"/><Relationship Id="rId9" Type="http://schemas.openxmlformats.org/officeDocument/2006/relationships/image" Target="media/ae46d54cd787e4070dc26fcf0f4a8fb61eb0c89a.png"/><Relationship Id="rId10" Type="http://schemas.openxmlformats.org/officeDocument/2006/relationships/image" Target="media/95857e40aa98ac6a717d7241577941e8b9394ec2.png"/><Relationship Id="rId11" Type="http://schemas.openxmlformats.org/officeDocument/2006/relationships/image" Target="media/a18ced5671f1cb43c1d6a21d0a14312af57f965a.png"/><Relationship Id="rId12" Type="http://schemas.openxmlformats.org/officeDocument/2006/relationships/image" Target="media/0b207b32d57bb92ac86f8ed9f9fac3f7e7de086f.png"/><Relationship Id="rId13" Type="http://schemas.openxmlformats.org/officeDocument/2006/relationships/image" Target="media/ea1e28c307360abefcdd010866c11b7c3b8bfc7b.png"/><Relationship Id="rId14" Type="http://schemas.openxmlformats.org/officeDocument/2006/relationships/image" Target="media/95bba376ce82356341c8dae9122dcd8b49db773a.png"/><Relationship Id="rId15" Type="http://schemas.openxmlformats.org/officeDocument/2006/relationships/image" Target="media/79623110932ee66233e3019c905cb3cbe3cbc8d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성인의 우울 증상과 관련된 다차원 요인</dc:title>
  <dc:creator>Depression_ActivityNetwork_Capstone</dc:creator>
  <cp:lastModifiedBy>Un-named</cp:lastModifiedBy>
  <cp:revision>1</cp:revision>
  <dcterms:created xsi:type="dcterms:W3CDTF">2026-10-15T21:40:43.449Z</dcterms:created>
  <dcterms:modified xsi:type="dcterms:W3CDTF">2026-10-15T21:40:43.452Z</dcterms:modified>
</cp:coreProperties>
</file>

<file path=docProps/custom.xml><?xml version="1.0" encoding="utf-8"?>
<Properties xmlns="http://schemas.openxmlformats.org/officeDocument/2006/custom-properties" xmlns:vt="http://schemas.openxmlformats.org/officeDocument/2006/docPropsVTypes"/>
</file>