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Times New Roman" w:cs="Times New Roman" w:eastAsia="바탕" w:hAnsi="Times New Roman"/>
          <w:b/>
          <w:bCs/>
          <w:sz w:val="26"/>
          <w:szCs w:val="26"/>
        </w:rPr>
        <w:t xml:space="preserve">보고 지침 체크리스트 — 한국 성인의 우울 증상과 관련된 다차원 요인</w:t>
      </w:r>
    </w:p>
    <w:p>
      <w:pPr>
        <w:spacing w:after="120" w:before="120"/>
        <w:jc w:val="left"/>
      </w:pPr>
      <w:r>
        <w:rPr>
          <w:rFonts w:ascii="Times New Roman" w:cs="Times New Roman" w:eastAsia="바탕" w:hAnsi="Times New Roman"/>
          <w:i/>
          <w:iCs/>
          <w:sz w:val="18"/>
          <w:szCs w:val="18"/>
        </w:rPr>
        <w:t xml:space="preserve">쪽 번호는 manuscript_v2.docx를 MS Word로 PDF 변환했을 때의 쪽이다. 노란 표시는 저자가 채워야 할 항목이다.</w:t>
      </w:r>
    </w:p>
    <w:p>
      <w:pPr>
        <w:spacing w:after="120" w:before="240"/>
        <w:jc w:val="left"/>
      </w:pPr>
      <w:r>
        <w:rPr>
          <w:rFonts w:ascii="Times New Roman" w:cs="Times New Roman" w:eastAsia="바탕" w:hAnsi="Times New Roman"/>
          <w:b/>
          <w:bCs/>
          <w:sz w:val="22"/>
          <w:szCs w:val="22"/>
        </w:rPr>
        <w:t xml:space="preserve">1. STROBE — 횡단면 연구 체크리스트 (22개 항목; von Elm et al., 2007)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5600"/>
        <w:gridCol w:w="7500"/>
      </w:tblGrid>
      <w:tr>
        <w:trPr>
          <w:tblHeader/>
        </w:trPr>
        <w:tc>
          <w:tcPr>
            <w:tcW w:type="dxa" w:w="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6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/>
                <w:bCs/>
                <w:sz w:val="18"/>
                <w:szCs w:val="18"/>
              </w:rPr>
              <w:t xml:space="preserve">권고 내용(요약)</w:t>
            </w:r>
          </w:p>
        </w:tc>
        <w:tc>
          <w:tcPr>
            <w:tcW w:type="dxa" w:w="7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/>
                <w:bCs/>
                <w:sz w:val="18"/>
                <w:szCs w:val="18"/>
              </w:rPr>
              <w:t xml:space="preserve">원고 보고 위치(절, 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1(a)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제목 또는 초록에 연구설계를 일반적인 용어로 명시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국문 초록 (2쪽); Abstract (4쪽) — "횡단면 연구"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1(b)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초록에 수행 내용과 결과를 균형 있게 요약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국문 초록 (2쪽); Abstract (4쪽)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연구의 과학적 배경과 근거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서론 (6쪽)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구체적 목적과 사전 가설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서론 (6쪽) — 연구 질문 4개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연구설계의 핵심 요소를 앞부분에 제시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연구설계와 자료 (7쪽)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 장소, 지역, 자료 수집 기간 등 관련 날짜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연구설계와 자료 (7쪽) — 2025.5.16~7.31, 가구 방문 1:1 면접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6(a)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대상자 적격 기준과 선정 방법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연구설계와 자료 (7쪽); 연구대상 (7쪽)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결과, 노출, 예측변수, 잠재적 교란변수, 효과수정변수의 정의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결과변수 (8쪽); 독립변수 (8쪽); 표 1; 표 S1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각 변수의 자료원과 측정 방법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독립변수 (8쪽) — 이용지침서 코드표·분기와 대조; 표 S1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잠재적 비뚤림을 다루기 위한 노력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독립변수 (8쪽); 결측 처리 (10쪽); 머신러닝 (10쪽) — 증상근접 영역 분리, 가구 단위 분할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 규모의 결정 방법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연구대상 (7쪽) — 가용 원시자료 전수 사용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정량 변수의 처리와 범주화 근거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기술통계와 조사설계 기반 회귀분석 (10쪽); 독립변수 (8쪽); 표 S1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12(a)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교란 통제를 포함한 모든 통계 방법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기술통계와 조사설계 기반 회귀분석 (10쪽); 머신러닝 (10쪽)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12(b)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하위집단과 상호작용 분석 방법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기술통계와 조사설계 기반 회귀분석 (10쪽); 머신러닝 (10쪽) — 조합 상호작용, 연령대별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12(c)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결측자료 처리 방법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결측 처리 (10쪽)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12(d)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표본추출 전략을 고려한 분석 방법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기술통계와 조사설계 기반 회귀분석 (10쪽) — 가중치·층·집락, 테일러 선형화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12(e)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민감도 분석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(10쪽); 머신러닝 모형의 분류 성능 (14쪽) — 증상근접 포함 모형, 3개 알고리즘 순위 비교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13(a)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각 단계의 대상자 수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연구대상 (7쪽); 그림 1 (8쪽)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13(b)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각 단계의 비참여 사유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그림 1 (8쪽) — PHQ-9 산출 불가 325명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13(c)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흐름도 사용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그림 1 (8쪽)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14(a)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대상자 특성과 노출·교란변수 정보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연구대상자의 특성 (12쪽); 표 2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14(b)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변수별 결측 대상자 수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표 2(결측 n); 표 S1(결측 %) — 연구대상자의 특성 (12쪽); 표 S1 (29쪽)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결과 사건 수 또는 요약 측정치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연구대상자의 특성 (12쪽) — 우울 증상 기준 충족 8,704명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16(a)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비조정 추정치와 교란 조정 추정치, 정밀도(95% CI), 조정 변수와 이유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연구대상자의 특성 (12쪽); 변수 수준의 관련 요인 (16쪽); 표 2(비조정), 표 5(조정 OR)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16(b)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연속형 변수를 범주화한 경우 경계값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표 2; 표 5 — 기술통계와 조사설계 기반 회귀분석 (10쪽)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16(c)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상대위험을 절대위험으로 변환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신체활동과 생활요인의 조합 (21쪽) — 조정 유병률(표 7)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하위집단·상호작용·민감도 등 기타 분석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연령대별 차이 (20쪽); 신체활동과 생활요인의 조합 (21쪽); 표 S3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목적에 비춘 주요 결과 요약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주요 결과 (22쪽)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비뚤림과 부정확성을 고려한 한계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강점과 한계 (24쪽)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목적, 한계, 다중분석, 유사 연구를 고려한 신중한 해석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선행연구와의 비교 (23쪽); 강점과 한계 (24쪽)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결과의 일반화 가능성(외적 타당도)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강점과 한계 (24쪽)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연구비 출처와 연구비 제공자의 역할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  <w:highlight w:val="yellow"/>
              </w:rPr>
              <w:t xml:space="preserve">저자 노트 (1쪽) — [저자 기재 필요]</w:t>
            </w:r>
          </w:p>
        </w:tc>
      </w:tr>
    </w:tbl>
    <w:p>
      <w:pPr>
        <w:spacing w:after="120" w:before="360"/>
        <w:jc w:val="left"/>
      </w:pPr>
      <w:r>
        <w:rPr>
          <w:rFonts w:ascii="Times New Roman" w:cs="Times New Roman" w:eastAsia="바탕" w:hAnsi="Times New Roman"/>
          <w:b/>
          <w:bCs/>
          <w:sz w:val="22"/>
          <w:szCs w:val="22"/>
        </w:rPr>
        <w:t xml:space="preserve">2. TRIPOD+AI 체크리스트 (27개 항목; Collins et al., 2024)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5600"/>
        <w:gridCol w:w="7500"/>
      </w:tblGrid>
      <w:tr>
        <w:trPr>
          <w:tblHeader/>
        </w:trPr>
        <w:tc>
          <w:tcPr>
            <w:tcW w:type="dxa" w:w="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6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/>
                <w:bCs/>
                <w:sz w:val="18"/>
                <w:szCs w:val="18"/>
              </w:rPr>
              <w:t xml:space="preserve">권고 내용(요약)</w:t>
            </w:r>
          </w:p>
        </w:tc>
        <w:tc>
          <w:tcPr>
            <w:tcW w:type="dxa" w:w="7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/>
                <w:bCs/>
                <w:sz w:val="18"/>
                <w:szCs w:val="18"/>
              </w:rPr>
              <w:t xml:space="preserve">원고 보고 위치(절, 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예측모형 개발·평가 연구임을 밝히고 대상 집단과 결과를 명시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표지(제목) — 저자 노트 (1쪽)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초록(TRIPOD+AI for Abstracts)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국문 초록 (2쪽); Abstract (4쪽)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3a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보건의료 맥락과 모형 개발 근거, 기존 모형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서론 (6쪽)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3b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대상 집단과 모형의 의도된 목적·사용자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(10쪽) — 개인 선별 도구가 아닌 영역별 정보량 비교 도구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3c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사회인구집단 간 건강 불평등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연구대상자의 특성 (12쪽) — 표 2(성별·연령·소득별 유병률); 표 S3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 목적(개발/검증 여부 포함)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서론 (6쪽)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5a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자료원, 사용 근거, 대표성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연구설계와 자료 (7쪽)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5b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자료 수집 기간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연구설계와 자료 (7쪽)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6a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 환경(일반 인구 등)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연구설계와 자료 (7쪽)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6b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대상자 적격 기준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연구대상 (7쪽)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6c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치료 정보와 처리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해당 없음 — 일반 인구 대상 건강조사로 치료 개입 없음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자료 전처리와 품질 점검(사회인구집단 간 유사성 포함)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독립변수 (8쪽); 결측 처리 (10쪽)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8a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예측 대상 결과의 정의, 평가 방법, 선택 근거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결과변수 (8쪽)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8b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결과 평가가 주관적 해석을 요하는 경우 평가자 특성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해당 없음 — PHQ-9 응답에 따른 점수 산출로 평가자 해석 없음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8c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결과 평가의 눈가림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해당 없음 — 결과와 예측변수를 같은 설문에서 동시에 수집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9a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초기 예측변수 선택 방법과 사전 선별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독립변수 (8쪽)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9b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모든 예측변수의 정의와 측정 시점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독립변수 (8쪽); 표 1; 표 S1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9c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예측변수 측정이 주관적 해석을 요하는 경우 평가자 특성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해당 없음 — 자기보고 응답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 규모 결정과 충분성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연구대상 (7쪽); 머신러닝 (10쪽) — 시험셋 양성 1,813명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결측자료 처리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결측 처리 (10쪽)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12a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자료 사용 방식(분할 등)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(10쪽) — 가구 단위 80/20, 학습셋 내 5-fold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예측변수 처리(함수 형태, 변환, 표준화)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(10쪽); 독립변수 (8쪽)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12c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모형 유형, 근거, 구축 단계, 하이퍼파라미터, 내부 검증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(10쪽)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12d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군집 간 이질성 처리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검토하지 않음 — 지역(시도·표본지점)별 성능 이질성은 평가하지 않음; 강점과 한계 (24쪽)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12e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성능 평가 지표와 그림(판별, 보정, 임상적 유용성), 모형 비교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(10쪽); 표 3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12f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평가에 따른 모형 갱신(재보정 등)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해당 없음 — 모형 갱신 없음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12g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(평가 연구) 예측 계산 방법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해당 없음 — 외부 평가 연구가 아님(개발 + 내부 시험셋)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클래스 불균형 처리 여부와 이유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(10쪽) — 보정 유지를 위해 적용하지 않음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모형 공정성 접근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(10쪽) — 성별·연령대별 성능 평가; 표 S3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모형 출력과 분류 임계값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(10쪽) — 확률 출력, 임계값 미설정, 상위 10% 보조 지표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개발·평가 자료의 차이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모형의 분류 성능 (14쪽) — 같은 모집단의 가구 단위 무작위 분할, 양성률 비교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윤리 승인과 동의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  <w:highlight w:val="yellow"/>
              </w:rPr>
              <w:t xml:space="preserve">연구윤리 (11쪽) — [IRB 정보 기재 필요]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18a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연구비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  <w:highlight w:val="yellow"/>
              </w:rPr>
              <w:t xml:space="preserve">저자 노트 (1쪽) — [기재 필요]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18b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이해상충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  <w:highlight w:val="yellow"/>
              </w:rPr>
              <w:t xml:space="preserve">저자 노트 (1쪽) — [기재 필요]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18c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프로토콜 접근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사전 프로토콜 미작성 — 분석 결정은 저장소 decision_log에 시점별로 기록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18d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 등록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등록하지 않음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18e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자료 공개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연구윤리 (11쪽) — 원시자료는 질병관리청 이용 절차로만 제공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18f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분석 코드 공개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  <w:highlight w:val="yellow"/>
              </w:rPr>
              <w:t xml:space="preserve">연구윤리 (11쪽) — [공개 방식 기재 필요]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환자·대중 참여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참여 없음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20a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대상자 흐름(결과 유무별 수)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그림 1 (8쪽)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20b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자료원별 대상자 특성과 결측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연구대상자의 특성 (12쪽); 표 2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20c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(평가 연구) 개발 자료와 주요 변수 분포 비교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모형의 분류 성능 (14쪽) — 학습·시험 양성률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분석별 대상자 수와 사건 수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그림 1 (8쪽); 표 3 주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전체 모형 정보(재현·제3자 평가용)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  <w:highlight w:val="yellow"/>
              </w:rPr>
              <w:t xml:space="preserve">머신러닝 (10쪽); 연구윤리 (11쪽) — 설정 공개, 모형 객체·코드 제공 방식은 [기재 필요]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23a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성능 추정치와 95% CI(주요 하위집단 포함)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머신러닝 모형의 분류 성능 (14쪽); 표 3; 표 S3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23b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군집 간 성능 이질성 결과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해당 없음 — 검토하지 않음(12d 참조)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모형 갱신 결과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해당 없음 — 모형 갱신 없음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공정성을 포함한 결과의 전반적 해석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주요 결과 (22쪽); 선행연구와의 비교 (23쪽)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한계(비대표 표본, 과적합, 결측 등)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강점과 한계 (24쪽)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27a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입력 자료 품질이 낮거나 없을 때의 처리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해당 없음 — 임상·실무 적용용 모형이 아님(개인 선별 부적합을 한계에 명시)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27b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사용자 상호작용과 필요 전문성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해당 없음 — 배포 모형 아님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27c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적용 가능성과 일반화를 위한 후속 연구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60"/>
            </w:pPr>
            <w:r>
              <w:rPr>
                <w:rFonts w:ascii="Times New Roman" w:cs="Times New Roman" w:eastAsia="바탕" w:hAnsi="Times New Roman"/>
                <w:b w:val="false"/>
                <w:bCs w:val="false"/>
                <w:sz w:val="18"/>
                <w:szCs w:val="18"/>
              </w:rPr>
              <w:t xml:space="preserve">강점과 한계 (24쪽); 결론 (25쪽) — 종단·중재연구 필요</w:t>
            </w:r>
          </w:p>
        </w:tc>
      </w:tr>
    </w:tbl>
    <w:p>
      <w:pPr>
        <w:spacing w:after="120" w:before="200"/>
        <w:jc w:val="left"/>
      </w:pPr>
      <w:r>
        <w:rPr>
          <w:rFonts w:ascii="Times New Roman" w:cs="Times New Roman" w:eastAsia="바탕" w:hAnsi="Times New Roman"/>
          <w:i/>
          <w:iCs/>
          <w:sz w:val="18"/>
          <w:szCs w:val="18"/>
        </w:rPr>
        <w:t xml:space="preserve">TRIPOD+AI의 D/E 구분: 이 연구는 모형 개발(D)과 같은 자료원의 가구 단위 내부 시험셋 평가이며, 외부 평가(E) 전용 항목은 해당 없음으로 표시하였다.</w:t>
      </w:r>
    </w:p>
    <w:sectPr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2026-10-15T21:41:09.448Z</dcterms:created>
  <dcterms:modified xsi:type="dcterms:W3CDTF">2026-10-15T21:41:09.449Z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