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7D2B" w14:textId="43EF98B0" w:rsidR="000E520F" w:rsidRDefault="00925FE4" w:rsidP="00925FE4">
      <w:pPr>
        <w:pStyle w:val="Title"/>
        <w:rPr>
          <w:lang w:val="en-US"/>
        </w:rPr>
      </w:pPr>
      <w:r>
        <w:rPr>
          <w:lang w:val="en-US"/>
        </w:rPr>
        <w:t>Tugas Kalkulus Sesi 9</w:t>
      </w:r>
    </w:p>
    <w:p w14:paraId="59C177FF" w14:textId="0ABCB860" w:rsidR="00925FE4" w:rsidRPr="00925FE4" w:rsidRDefault="00925FE4" w:rsidP="00925FE4">
      <w:pPr>
        <w:pStyle w:val="Subtitle"/>
        <w:rPr>
          <w:lang w:val="en-US"/>
        </w:rPr>
      </w:pPr>
      <w:r>
        <w:rPr>
          <w:lang w:val="en-US"/>
        </w:rPr>
        <w:t>Aldi Maulana Iqbal - 20210801222</w:t>
      </w:r>
    </w:p>
    <w:sectPr w:rsidR="00925FE4" w:rsidRPr="00925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FE"/>
    <w:rsid w:val="000E520F"/>
    <w:rsid w:val="00582AFE"/>
    <w:rsid w:val="00925FE4"/>
    <w:rsid w:val="00C1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183E"/>
  <w15:chartTrackingRefBased/>
  <w15:docId w15:val="{2985D987-3F6A-4550-8A3F-D2BC8B19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FE4"/>
    <w:pPr>
      <w:spacing w:after="0" w:line="240" w:lineRule="auto"/>
      <w:contextualSpacing/>
    </w:pPr>
    <w:rPr>
      <w:rFonts w:ascii="Nunito" w:eastAsiaTheme="majorEastAsia" w:hAnsi="Nunito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FE4"/>
    <w:rPr>
      <w:rFonts w:ascii="Nunito" w:eastAsiaTheme="majorEastAsia" w:hAnsi="Nunito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FE4"/>
    <w:pPr>
      <w:numPr>
        <w:ilvl w:val="1"/>
      </w:numPr>
    </w:pPr>
    <w:rPr>
      <w:rFonts w:ascii="Roboto" w:eastAsiaTheme="minorEastAsia" w:hAnsi="Roboto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5FE4"/>
    <w:rPr>
      <w:rFonts w:ascii="Roboto" w:eastAsiaTheme="minorEastAsia" w:hAnsi="Roboto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2</cp:revision>
  <dcterms:created xsi:type="dcterms:W3CDTF">2022-12-05T13:42:00Z</dcterms:created>
  <dcterms:modified xsi:type="dcterms:W3CDTF">2022-12-05T13:43:00Z</dcterms:modified>
</cp:coreProperties>
</file>