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0" w:lineRule="atLeast"/>
        <w:ind w:left="0" w:right="0" w:firstLine="2077" w:firstLineChars="600"/>
        <w:textAlignment w:val="auto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古诗中常见的13种借代形式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Style w:val="6"/>
          <w:rFonts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用事物的部分代事物的整体。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 沙鸥翔集，锦鳞游泳。（范仲淹《岳阳楼记》）“鳞”是鱼身体表面长的角质或骨质的小薄片，是鱼身体的一部分，这里代指鱼。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沙鸥时而飞翔，时而停歇，美丽的鱼儿在水中游泳。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用具体事物代抽象事物。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 辛苦遭逢起一经，干戈寥落四周星。（文天祥《过零丁洋》）这里是用古代兵器“干戈”来代指战争。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（自己）辛苦勤奋地研读诗书，通过科举考试，被朝廷选拔入朝做官，（这种仕途生涯）在频繁的抗元战争中已度过四年。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spacing w:val="-6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3．用抽象事物代具体事物。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120" w:right="120" w:firstLine="0"/>
        <w:jc w:val="both"/>
        <w:textAlignment w:val="auto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-6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-6"/>
          <w:sz w:val="22"/>
          <w:szCs w:val="22"/>
          <w:bdr w:val="none" w:color="auto" w:sz="0" w:space="0"/>
          <w:shd w:val="clear" w:fill="AB1942"/>
        </w:rPr>
        <w:t> 例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-6"/>
          <w:sz w:val="22"/>
          <w:szCs w:val="22"/>
          <w:bdr w:val="none" w:color="auto" w:sz="0" w:space="0"/>
          <w:shd w:val="clear" w:fill="FFFFFF"/>
        </w:rPr>
        <w:t> 将军身被坚执锐，伐无道，诛暴秦。（司马迁《陈涉世家》）该句借抽象的“坚”和“锐”来代指具体的盔甲和武器。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将军您身穿坚硬的战甲，拿着武器亲自作战，讨伐无道的君主，诛杀暴虐的秦王。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4.用工具代事物。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 无丝竹之乱耳，无案牍之劳形。（刘禹锡《陋室铭》）这里的“丝”和“竹”指琴瑟、箫管等乐器，在本句中代指奏乐的声音。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没有（嘈杂的）音乐扰乱耳朵，没有（各种）官府的公文使身体劳累。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用事物的材料代事物。同舍生皆被绮绣。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 （宋濂《送东阳马生序》）中的“绮绣”是用来制造华丽服装的材料,这里代指漂亮华贵的衣服。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同一个屋舍的书生都穿着漂亮华贵的衣服。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用事物的范围代事物。</w:t>
      </w: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 六王毕，四海一。（杜牧《阿房宫赋》）中的“四海”代指四海之内的国家。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六国灭亡了，四海之内的国家统一了。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用人名代物。干将发硎，有作其芒。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 （梁启超《少年中国说》）中的“干将”本来是个善铸剑的工匠的名字，这里用其代指锋利的宝剑。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宝剑在磨刀石上磨出，发出耀眼的光芒。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用形象特征代人。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 黄发垂髫，并怡然自乐。（陶渊明《桃花源记》）中的“黄发”和“垂髫”分别为老人和小孩的形象特征，这里分别用它们来代指老人和小孩。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老人和小孩，都高高兴兴，自得其乐。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用衣着特征代人。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 大王尝闻布衣之怒乎?（《唐雎不辱使命》）中的“布衣”本是古代庶人之服，这里用平民的衣着特征来代指平民。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大王曾经听说过老百姓发怒吗？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用事物代人。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 xml:space="preserve"> 大铁椎，不知何许人。（魏禧《大铁椎传》）中的“大铁椎”是文中主人公使用的武器，这里以其使用的武器来代指其人。    </w:t>
      </w: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大铁椎，不知道是什么地方的人。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用官职代人。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 座中泣下谁最多？江州司马青衫湿。（白居易《琵琶行》）中用官职“江州司马”代指作者本人。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满座中谁流的泪水最多?我的黑色单衣都湿透了。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用民族代人。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 前军夜战洮河北，已报生擒吐谷浑。（王昌龄《从军行》）句中的“吐谷浑”是古代少数民族，在今甘肃、青海一带，这里用民族名称来代指吐谷浑族的首领。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spacing w:val="-6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前军（和敌人）在洮河北夜战，已经传来了活捉吐谷浑族的首领的报告。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left"/>
        <w:textAlignment w:val="auto"/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以汉代唐。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FFFFFF"/>
          <w:spacing w:val="-6"/>
          <w:kern w:val="0"/>
          <w:sz w:val="22"/>
          <w:szCs w:val="22"/>
          <w:bdr w:val="none" w:color="auto" w:sz="0" w:space="0"/>
          <w:shd w:val="clear" w:fill="AB1942"/>
          <w:lang w:val="en-US" w:eastAsia="zh-CN" w:bidi="ar"/>
        </w:rPr>
        <w:t> 例 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 这是一种特殊的借代形式，主要出现在唐代。唐代的一些文人为了躲避文祸，常常喜欢用汉代皇帝来隐指唐代皇帝。边庭流血成海水，武皇开边意未已。（杜甫《兵车行》）这里的“武皇”本来指汉武帝，但在此句中是暗指唐玄宗。这就是采用了“以汉代唐”的方式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left"/>
        <w:textAlignment w:val="auto"/>
      </w:pPr>
      <w:r>
        <w:rPr>
          <w:rStyle w:val="6"/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[译]</w:t>
      </w:r>
      <w:r>
        <w:rPr>
          <w:rFonts w:hint="eastAsia" w:ascii="微软雅黑" w:hAnsi="微软雅黑" w:eastAsia="微软雅黑" w:cs="微软雅黑"/>
          <w:spacing w:val="-6"/>
          <w:kern w:val="0"/>
          <w:sz w:val="22"/>
          <w:szCs w:val="22"/>
          <w:bdr w:val="none" w:color="auto" w:sz="0" w:space="0"/>
          <w:lang w:val="en-US" w:eastAsia="zh-CN" w:bidi="ar"/>
        </w:rPr>
        <w:t>边疆将士们血流成海，但唐玄宗用武力扩张领土的想法（还是）没有停止。</w:t>
      </w:r>
      <w:bookmarkStart w:id="0" w:name="_GoBack"/>
      <w:bookmarkEnd w:id="0"/>
    </w:p>
    <w:sectPr>
      <w:pgSz w:w="11906" w:h="16838"/>
      <w:pgMar w:top="907" w:right="1134" w:bottom="907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D8CE33"/>
    <w:multiLevelType w:val="singleLevel"/>
    <w:tmpl w:val="E1D8CE33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74938FEF"/>
    <w:multiLevelType w:val="singleLevel"/>
    <w:tmpl w:val="74938FEF"/>
    <w:lvl w:ilvl="0" w:tentative="0">
      <w:start w:val="5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D4399"/>
    <w:rsid w:val="6EBD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2022-02-11T01:44:00Z</dcterms:created>
  <dc:creator>admin</dc:creator>
  <cp:lastModifiedBy>admin</cp:lastModifiedBy>
  <cp:lastPrinted>2022-02-11T01:54:59Z</cp:lastPrinted>
  <dcterms:modified xsi:type="dcterms:W3CDTF">2022-02-11T02:08:59Z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04B1717A2B4F4E0994807DA2B73B7B82</vt:lpwstr>
  </property>
</Properties>
</file>