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50y4yoh1d2f" w:id="0"/>
      <w:bookmarkEnd w:id="0"/>
      <w:r w:rsidDel="00000000" w:rsidR="00000000" w:rsidRPr="00000000">
        <w:rPr>
          <w:rtl w:val="0"/>
        </w:rPr>
        <w:t xml:space="preserve">Enseigne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Référence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Enseigne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Enseigne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Enseigne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responsableAchat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ResponsableAchat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identiteVisuelle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IdentiteVisuelle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o2uipeqhvoh" w:id="1"/>
      <w:bookmarkEnd w:id="1"/>
      <w:r w:rsidDel="00000000" w:rsidR="00000000" w:rsidRPr="00000000">
        <w:rPr>
          <w:rtl w:val="0"/>
        </w:rPr>
        <w:t xml:space="preserve">Responsable achat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Référence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ResponsableAchat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ResponsableAchat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ResponsableAchat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o3rlykybhi7t" w:id="2"/>
      <w:bookmarkEnd w:id="2"/>
      <w:r w:rsidDel="00000000" w:rsidR="00000000" w:rsidRPr="00000000">
        <w:rPr>
          <w:rtl w:val="0"/>
        </w:rPr>
        <w:t xml:space="preserve">Identité visuelle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donnée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Référence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IdentiteVisuelle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IdentiteVisuelle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IdentiteVisuelle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Enseigne est liée avec Acheteur par une ManyToOne.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Enseigne est liée avec IdentiteVisuelle par OneToOne.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