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160" w:before="200"/>
        <w:jc w:val="center"/>
      </w:pPr>
      <w:r>
        <w:rPr>
          <w:rFonts w:ascii="Times New Roman" w:cs="Times New Roman" w:eastAsia="Times New Roman" w:hAnsi="Times New Roman"/>
          <w:b/>
          <w:bCs/>
          <w:color w:val="003087"/>
          <w:sz w:val="32"/>
          <w:szCs w:val="32"/>
        </w:rPr>
        <w:t xml:space="preserve">Brain Cancer MRI Classification: A Comparative Analysis of Supervised and Semi-Supervised Learning Methods</w:t>
      </w:r>
    </w:p>
    <w:p>
      <w:pPr>
        <w:spacing w:after="240" w:before="0"/>
        <w:jc w:val="center"/>
      </w:pPr>
      <w:r>
        <w:rPr>
          <w:rFonts w:ascii="Times New Roman" w:cs="Times New Roman" w:eastAsia="Times New Roman" w:hAnsi="Times New Roman"/>
          <w:i/>
          <w:iCs/>
          <w:color w:val="555555"/>
          <w:sz w:val="20"/>
          <w:szCs w:val="20"/>
        </w:rPr>
        <w:t xml:space="preserve">ICE-478 Course Project  —  2026</w:t>
      </w:r>
    </w:p>
    <w:p>
      <w:pPr>
        <w:pBdr>
          <w:bottom w:val="double" w:color="003087" w:sz="6" w:space="8"/>
        </w:pBdr>
        <w:spacing w:after="240" w:before="0"/>
      </w:pP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ABSTRACT</w:t>
      </w:r>
    </w:p>
    <w:p>
      <w:pPr>
        <w:spacing w:after="120" w:before="80"/>
        <w:jc w:val="both"/>
      </w:pPr>
      <w:r>
        <w:rPr>
          <w:rFonts w:ascii="Times New Roman" w:cs="Times New Roman" w:eastAsia="Times New Roman" w:hAnsi="Times New Roman"/>
          <w:b/>
          <w:bCs/>
          <w:i/>
          <w:iCs/>
          <w:sz w:val="20"/>
          <w:szCs w:val="20"/>
        </w:rPr>
        <w:t xml:space="preserve">Abstract — </w:t>
      </w:r>
      <w:r>
        <w:rPr>
          <w:rFonts w:ascii="Times New Roman" w:cs="Times New Roman" w:eastAsia="Times New Roman" w:hAnsi="Times New Roman"/>
          <w:sz w:val="20"/>
          <w:szCs w:val="20"/>
        </w:rPr>
        <w:t xml:space="preserve">This paper presents a comprehensive comparative study of supervised and semi-supervised learning (SSL) approaches for classifying brain cancer MRI images across 44 distinct tumor classes. Using the Brain Cancer MRI dataset comprising 4,479 images, we trained and evaluated five supervised deep learning architectures — GoogleNet, MobileNetV3-Large, ResNet-50, ResNet-101, and ViT-B/16 — under different train-test split ratios (90:10, 80:20, 70:30). We further explored SSL pretraining using the SimCLR contrastive framework with a ResNet-18 backbone and evaluated multiple downstream evaluation strategies including linear probing, MLP head classification, and full fine-tuning. Experimental results show GoogleNet achieving the highest supervised test accuracy of 96.21%, while SSL (SimCLR) with full fine-tuning reached 49.78% — indicating that supervised learning outperforms SSL for this small labeled dataset. Embedding analysis through t-SNE, UMAP, and k-NN evaluation (k-NN@1 = 86.83%) demonstrates meaningful feature learning despite limited SSL pretraining. Our findings provide practical guidance for clinical deployment of deep learning models in medical image analysis.</w:t>
      </w:r>
    </w:p>
    <w:p>
      <w:pPr>
        <w:spacing w:after="200" w:before="80"/>
        <w:jc w:val="both"/>
      </w:pPr>
      <w:r>
        <w:rPr>
          <w:rFonts w:ascii="Times New Roman" w:cs="Times New Roman" w:eastAsia="Times New Roman" w:hAnsi="Times New Roman"/>
          <w:b/>
          <w:bCs/>
          <w:i/>
          <w:iCs/>
          <w:sz w:val="20"/>
          <w:szCs w:val="20"/>
        </w:rPr>
        <w:t xml:space="preserve">Keywords — </w:t>
      </w:r>
      <w:r>
        <w:rPr>
          <w:rFonts w:ascii="Times New Roman" w:cs="Times New Roman" w:eastAsia="Times New Roman" w:hAnsi="Times New Roman"/>
          <w:sz w:val="20"/>
          <w:szCs w:val="20"/>
        </w:rPr>
        <w:t xml:space="preserve">Brain tumor classification, MRI, deep learning, semi-supervised learning, SimCLR, contrastive learning, GoogleNet, ResNet, ViT, transfer learning.</w:t>
      </w: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I. INTRODUCTION</w:t>
      </w:r>
    </w:p>
    <w:p>
      <w:pPr>
        <w:spacing w:after="80" w:before="80"/>
        <w:jc w:val="both"/>
      </w:pPr>
      <w:r>
        <w:rPr>
          <w:rFonts w:ascii="Times New Roman" w:cs="Times New Roman" w:eastAsia="Times New Roman" w:hAnsi="Times New Roman"/>
          <w:sz w:val="20"/>
          <w:szCs w:val="20"/>
        </w:rPr>
        <w:t xml:space="preserve">Brain cancer represents one of the most aggressive and life-threatening malignancies, with early and accurate diagnosis being critical for patient outcomes. Magnetic Resonance Imaging (MRI) is the primary modality for non-invasive brain tumor detection; however, manual interpretation of MRI scans by radiologists is time-consuming, subject to inter-observer variability, and demands significant expertise across many tumor subtypes.</w:t>
      </w:r>
    </w:p>
    <w:p>
      <w:pPr>
        <w:spacing w:after="80" w:before="80"/>
        <w:jc w:val="both"/>
      </w:pPr>
      <w:r>
        <w:rPr>
          <w:rFonts w:ascii="Times New Roman" w:cs="Times New Roman" w:eastAsia="Times New Roman" w:hAnsi="Times New Roman"/>
          <w:sz w:val="20"/>
          <w:szCs w:val="20"/>
        </w:rPr>
        <w:t xml:space="preserve">Deep learning has demonstrated transformative potential in medical image analysis. Convolutional Neural Networks (CNNs) and, more recently, Vision Transformers (ViT) have achieved near-human or superhuman performance on various medical imaging benchmarks. However, most prior work focuses on simplified datasets with 3–4 tumor classes, whereas real clinical scenarios involve many more subtypes. This study addresses the challenging 44-class Brain Cancer MRI classification problem.</w:t>
      </w:r>
    </w:p>
    <w:p>
      <w:pPr>
        <w:spacing w:after="80" w:before="80"/>
        <w:jc w:val="both"/>
      </w:pPr>
      <w:r>
        <w:rPr>
          <w:rFonts w:ascii="Times New Roman" w:cs="Times New Roman" w:eastAsia="Times New Roman" w:hAnsi="Times New Roman"/>
          <w:sz w:val="20"/>
          <w:szCs w:val="20"/>
        </w:rPr>
        <w:t xml:space="preserve">A parallel challenge in clinical AI is the scarcity of labeled data. Annotating medical images requires specialized radiological knowledge, making large labeled datasets expensive to acquire. Semi-supervised learning (SSL) addresses this by leveraging unlabeled data to learn better representations, requiring fewer annotations for competitive downstream performance.</w:t>
      </w:r>
    </w:p>
    <w:p>
      <w:pPr>
        <w:spacing w:after="80" w:before="80"/>
        <w:jc w:val="both"/>
      </w:pPr>
      <w:r>
        <w:rPr>
          <w:rFonts w:ascii="Times New Roman" w:cs="Times New Roman" w:eastAsia="Times New Roman" w:hAnsi="Times New Roman"/>
          <w:sz w:val="20"/>
          <w:szCs w:val="20"/>
        </w:rPr>
        <w:t xml:space="preserve">The contributions of this paper are as follows:</w:t>
      </w:r>
    </w:p>
    <w:p>
      <w:pPr>
        <w:pStyle w:val="ListParagraph"/>
        <w:numPr>
          <w:ilvl w:val="0"/>
          <w:numId w:val="2"/>
        </w:numPr>
      </w:pPr>
      <w:r>
        <w:rPr>
          <w:rFonts w:ascii="Times New Roman" w:cs="Times New Roman" w:eastAsia="Times New Roman" w:hAnsi="Times New Roman"/>
          <w:sz w:val="20"/>
          <w:szCs w:val="20"/>
        </w:rPr>
        <w:t xml:space="preserve">Systematic evaluation of five pretrained deep learning models on 44-class brain MRI classification.</w:t>
      </w:r>
    </w:p>
    <w:p>
      <w:pPr>
        <w:pStyle w:val="ListParagraph"/>
        <w:numPr>
          <w:ilvl w:val="0"/>
          <w:numId w:val="2"/>
        </w:numPr>
      </w:pPr>
      <w:r>
        <w:rPr>
          <w:rFonts w:ascii="Times New Roman" w:cs="Times New Roman" w:eastAsia="Times New Roman" w:hAnsi="Times New Roman"/>
          <w:sz w:val="20"/>
          <w:szCs w:val="20"/>
        </w:rPr>
        <w:t xml:space="preserve">Analysis of three train-test split ratios to assess data efficiency of supervised models.</w:t>
      </w:r>
    </w:p>
    <w:p>
      <w:pPr>
        <w:pStyle w:val="ListParagraph"/>
        <w:numPr>
          <w:ilvl w:val="0"/>
          <w:numId w:val="2"/>
        </w:numPr>
      </w:pPr>
      <w:r>
        <w:rPr>
          <w:rFonts w:ascii="Times New Roman" w:cs="Times New Roman" w:eastAsia="Times New Roman" w:hAnsi="Times New Roman"/>
          <w:sz w:val="20"/>
          <w:szCs w:val="20"/>
        </w:rPr>
        <w:t xml:space="preserve">SimCLR-based self-supervised pretraining and downstream evaluation via linear probing, MLP head, and full fine-tuning.</w:t>
      </w:r>
    </w:p>
    <w:p>
      <w:pPr>
        <w:pStyle w:val="ListParagraph"/>
        <w:numPr>
          <w:ilvl w:val="0"/>
          <w:numId w:val="2"/>
        </w:numPr>
      </w:pPr>
      <w:r>
        <w:rPr>
          <w:rFonts w:ascii="Times New Roman" w:cs="Times New Roman" w:eastAsia="Times New Roman" w:hAnsi="Times New Roman"/>
          <w:sz w:val="20"/>
          <w:szCs w:val="20"/>
        </w:rPr>
        <w:t xml:space="preserve">Comprehensive embedding space analysis using t-SNE, UMAP, k-NN retrieval, and label-fraction probing.</w:t>
      </w:r>
    </w:p>
    <w:p>
      <w:pPr>
        <w:spacing w:after="80" w:before="0"/>
      </w:pP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II. RELATED WORK</w:t>
      </w:r>
    </w:p>
    <w:p>
      <w:pPr>
        <w:spacing w:after="80" w:before="80"/>
        <w:jc w:val="both"/>
      </w:pPr>
      <w:r>
        <w:rPr>
          <w:rFonts w:ascii="Times New Roman" w:cs="Times New Roman" w:eastAsia="Times New Roman" w:hAnsi="Times New Roman"/>
          <w:sz w:val="20"/>
          <w:szCs w:val="20"/>
        </w:rPr>
        <w:t xml:space="preserve">Significant progress has been made in applying deep learning to brain tumor classification. He et al. demonstrated residual learning in deep networks, leading to ResNet architectures that remain widely adopted in medical imaging. Sandler et al. introduced MobileNetV3, a lightweight model suited for resource-constrained settings. Dosovitskiy et al. proposed the Vision Transformer (ViT), which has shown competitive performance with CNNs on image classification tasks.</w:t>
      </w:r>
    </w:p>
    <w:p>
      <w:pPr>
        <w:spacing w:after="80" w:before="80"/>
        <w:jc w:val="both"/>
      </w:pPr>
      <w:r>
        <w:rPr>
          <w:rFonts w:ascii="Times New Roman" w:cs="Times New Roman" w:eastAsia="Times New Roman" w:hAnsi="Times New Roman"/>
          <w:sz w:val="20"/>
          <w:szCs w:val="20"/>
        </w:rPr>
        <w:t xml:space="preserve">In the brain tumor domain, prior works have reported impressive results: an optimized ResNet-50 achieved 99.69% on a 4-class dataset; EfficientNetB7 reached 98.97% using fine-grained hyperparameter tuning; and a custom lightweight CNN attained 99.54% with only 1.8M parameters. However, these studies predominantly use simplified datasets with 3–4 classes.</w:t>
      </w:r>
    </w:p>
    <w:p>
      <w:pPr>
        <w:spacing w:after="80" w:before="80"/>
        <w:jc w:val="both"/>
      </w:pPr>
      <w:r>
        <w:rPr>
          <w:rFonts w:ascii="Times New Roman" w:cs="Times New Roman" w:eastAsia="Times New Roman" w:hAnsi="Times New Roman"/>
          <w:sz w:val="20"/>
          <w:szCs w:val="20"/>
        </w:rPr>
        <w:t xml:space="preserve">For SSL, Chen et al. introduced SimCLR, a contrastive learning framework that learns visual representations by maximizing agreement between different augmented views of the same image. BYOL, DINO, and MoCo represent further advances in the SSL landscape. Applications of SSL to medical imaging remain an active research area, with promising results in scenarios where labeled data is scarce.</w:t>
      </w: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III. DATASET &amp; PREPROCESSING</w:t>
      </w:r>
    </w:p>
    <w:p>
      <w:pPr>
        <w:spacing w:after="80" w:before="160"/>
      </w:pPr>
      <w:r>
        <w:rPr>
          <w:rFonts w:ascii="Times New Roman" w:cs="Times New Roman" w:eastAsia="Times New Roman" w:hAnsi="Times New Roman"/>
          <w:b/>
          <w:bCs/>
          <w:i/>
          <w:iCs/>
          <w:sz w:val="21"/>
          <w:szCs w:val="21"/>
        </w:rPr>
        <w:t xml:space="preserve">A. Dataset Overview</w:t>
      </w:r>
    </w:p>
    <w:p>
      <w:pPr>
        <w:spacing w:after="80" w:before="80"/>
        <w:jc w:val="both"/>
      </w:pPr>
      <w:r>
        <w:rPr>
          <w:rFonts w:ascii="Times New Roman" w:cs="Times New Roman" w:eastAsia="Times New Roman" w:hAnsi="Times New Roman"/>
          <w:sz w:val="20"/>
          <w:szCs w:val="20"/>
        </w:rPr>
        <w:t xml:space="preserve">We use the publicly available Brain Cancer MRI Images dataset containing 4,479 MRI images spanning 44 distinct tumor classes. The dataset covers a diverse range of tumor histologies and MRI modality types (T1, T1C+, T2) including Astrocitoma, Carcinoma, Ependimoma, Ganglioglioma, Germinoma, Glioblastoma, Granuloma, Meduloblastoma, Meningioma, Neurocitoma, Oligodendroglioma, Papiloma, Tuberculoma, among others.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4500"/>
        <w:gridCol w:w="4500"/>
      </w:tblGrid>
      <w:tr>
        <w:trPr>
          <w:tblHeader/>
        </w:trPr>
        <w:tc>
          <w:tcPr>
            <w:tcW w:type="dxa" w:w="45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Dataset Attribute</w:t>
            </w:r>
          </w:p>
        </w:tc>
        <w:tc>
          <w:tcPr>
            <w:tcW w:type="dxa" w:w="45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Value</w:t>
            </w:r>
          </w:p>
        </w:tc>
      </w:tr>
      <w:tr>
        <w:trPr>
          <w:tblHeader w:val="false"/>
        </w:trPr>
        <w:tc>
          <w:tcPr>
            <w:tcW w:type="dxa" w:w="4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Total Images</w:t>
            </w:r>
          </w:p>
        </w:tc>
        <w:tc>
          <w:tcPr>
            <w:tcW w:type="dxa" w:w="4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4,479</w:t>
            </w:r>
          </w:p>
        </w:tc>
      </w:tr>
      <w:tr>
        <w:trPr>
          <w:tblHeader w:val="false"/>
        </w:trPr>
        <w:tc>
          <w:tcPr>
            <w:tcW w:type="dxa" w:w="45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Number of Classes</w:t>
            </w:r>
          </w:p>
        </w:tc>
        <w:tc>
          <w:tcPr>
            <w:tcW w:type="dxa" w:w="45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44</w:t>
            </w:r>
          </w:p>
        </w:tc>
      </w:tr>
      <w:tr>
        <w:trPr>
          <w:tblHeader w:val="false"/>
        </w:trPr>
        <w:tc>
          <w:tcPr>
            <w:tcW w:type="dxa" w:w="4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Image Modality</w:t>
            </w:r>
          </w:p>
        </w:tc>
        <w:tc>
          <w:tcPr>
            <w:tcW w:type="dxa" w:w="4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MRI (T1, T1C+, T2)</w:t>
            </w:r>
          </w:p>
        </w:tc>
      </w:tr>
      <w:tr>
        <w:trPr>
          <w:tblHeader w:val="false"/>
        </w:trPr>
        <w:tc>
          <w:tcPr>
            <w:tcW w:type="dxa" w:w="45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Train Size (90:10)</w:t>
            </w:r>
          </w:p>
        </w:tc>
        <w:tc>
          <w:tcPr>
            <w:tcW w:type="dxa" w:w="45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3,628</w:t>
            </w:r>
          </w:p>
        </w:tc>
      </w:tr>
      <w:tr>
        <w:trPr>
          <w:tblHeader w:val="false"/>
        </w:trPr>
        <w:tc>
          <w:tcPr>
            <w:tcW w:type="dxa" w:w="4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Validation Size</w:t>
            </w:r>
          </w:p>
        </w:tc>
        <w:tc>
          <w:tcPr>
            <w:tcW w:type="dxa" w:w="45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403</w:t>
            </w:r>
          </w:p>
        </w:tc>
      </w:tr>
      <w:tr>
        <w:trPr>
          <w:tblHeader w:val="false"/>
        </w:trPr>
        <w:tc>
          <w:tcPr>
            <w:tcW w:type="dxa" w:w="45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Test Size</w:t>
            </w:r>
          </w:p>
        </w:tc>
        <w:tc>
          <w:tcPr>
            <w:tcW w:type="dxa" w:w="45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448</w:t>
            </w:r>
          </w:p>
        </w:tc>
      </w:tr>
    </w:tbl>
    <w:p>
      <w:pPr>
        <w:spacing w:after="120" w:before="60"/>
        <w:jc w:val="center"/>
      </w:pPr>
      <w:r>
        <w:rPr>
          <w:rFonts w:ascii="Times New Roman" w:cs="Times New Roman" w:eastAsia="Times New Roman" w:hAnsi="Times New Roman"/>
          <w:i/>
          <w:iCs/>
          <w:sz w:val="18"/>
          <w:szCs w:val="18"/>
        </w:rPr>
        <w:t xml:space="preserve">Table I: Dataset statistics.</w:t>
      </w:r>
    </w:p>
    <w:p>
      <w:pPr>
        <w:spacing w:after="80" w:before="160"/>
      </w:pPr>
      <w:r>
        <w:rPr>
          <w:rFonts w:ascii="Times New Roman" w:cs="Times New Roman" w:eastAsia="Times New Roman" w:hAnsi="Times New Roman"/>
          <w:b/>
          <w:bCs/>
          <w:i/>
          <w:iCs/>
          <w:sz w:val="21"/>
          <w:szCs w:val="21"/>
        </w:rPr>
        <w:t xml:space="preserve">B. Preprocessing Pipeline</w:t>
      </w:r>
    </w:p>
    <w:p>
      <w:pPr>
        <w:spacing w:after="80" w:before="80"/>
        <w:jc w:val="both"/>
      </w:pPr>
      <w:r>
        <w:rPr>
          <w:rFonts w:ascii="Times New Roman" w:cs="Times New Roman" w:eastAsia="Times New Roman" w:hAnsi="Times New Roman"/>
          <w:sz w:val="20"/>
          <w:szCs w:val="20"/>
        </w:rPr>
        <w:t xml:space="preserve">All images were resized to 160×160 pixels and normalized using ImageNet statistics (mean=[0.485, 0.456, 0.406], std=[0.229, 0.224, 0.225]). Data augmentation strategies included random horizontal flip, random rotation (±15°), color jitter (brightness, contrast, saturation), and random resized cropping. For SSL pretraining, stronger augmentation pipelines were employed per SimCLR specifications. Class labels were encoded numerically and stratified splitting was applied to maintain class distribution across all splits.</w:t>
      </w: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IV. METHODOLOGY</w:t>
      </w:r>
    </w:p>
    <w:p>
      <w:pPr>
        <w:spacing w:after="80" w:before="160"/>
      </w:pPr>
      <w:r>
        <w:rPr>
          <w:rFonts w:ascii="Times New Roman" w:cs="Times New Roman" w:eastAsia="Times New Roman" w:hAnsi="Times New Roman"/>
          <w:b/>
          <w:bCs/>
          <w:i/>
          <w:iCs/>
          <w:sz w:val="21"/>
          <w:szCs w:val="21"/>
        </w:rPr>
        <w:t xml:space="preserve">A. Supervised Learning</w:t>
      </w:r>
    </w:p>
    <w:p>
      <w:pPr>
        <w:spacing w:after="80" w:before="80"/>
        <w:jc w:val="both"/>
      </w:pPr>
      <w:r>
        <w:rPr>
          <w:rFonts w:ascii="Times New Roman" w:cs="Times New Roman" w:eastAsia="Times New Roman" w:hAnsi="Times New Roman"/>
          <w:sz w:val="20"/>
          <w:szCs w:val="20"/>
        </w:rPr>
        <w:t xml:space="preserve">Five pretrained architectures were fine-tuned end-to-end on the 44-class classification task: GoogleNet (Inception-v1), MobileNetV3-Large, ResNet-50, ResNet-101, and ViT-B/16. Each model's final classification head was replaced with a fully connected layer mapping to 44 output classes with Softmax activation. Training was performed using the Adam optimizer (lr = 0.0001) with Cross-Entropy loss, batch size of 32–64, and up to 50 epochs using CUDA acceleration on an NVIDIA GeForce RTX 5060 Ti. Cosine annealing learning rate scheduling was applied.</w:t>
      </w:r>
    </w:p>
    <w:p>
      <w:pPr>
        <w:spacing w:after="80" w:before="80"/>
        <w:jc w:val="both"/>
      </w:pPr>
      <w:r>
        <w:rPr>
          <w:rFonts w:ascii="Times New Roman" w:cs="Times New Roman" w:eastAsia="Times New Roman" w:hAnsi="Times New Roman"/>
          <w:sz w:val="20"/>
          <w:szCs w:val="20"/>
        </w:rPr>
        <w:t xml:space="preserve">Performance was evaluated across three train-test splits: 90:10, 80:20, and 70:30. Evaluation metrics include Accuracy, Macro Precision, Macro Recall, Macro F1-score, and ROC-AUC (OVR Macro). Computational efficiency was measured in GFLOPs and inference time.</w:t>
      </w:r>
    </w:p>
    <w:p>
      <w:pPr>
        <w:spacing w:after="80" w:before="160"/>
      </w:pPr>
      <w:r>
        <w:rPr>
          <w:rFonts w:ascii="Times New Roman" w:cs="Times New Roman" w:eastAsia="Times New Roman" w:hAnsi="Times New Roman"/>
          <w:b/>
          <w:bCs/>
          <w:i/>
          <w:iCs/>
          <w:sz w:val="21"/>
          <w:szCs w:val="21"/>
        </w:rPr>
        <w:t xml:space="preserve">B. Semi-Supervised Learning — SimCLR</w:t>
      </w:r>
    </w:p>
    <w:p>
      <w:pPr>
        <w:spacing w:after="80" w:before="80"/>
        <w:jc w:val="both"/>
      </w:pPr>
      <w:r>
        <w:rPr>
          <w:rFonts w:ascii="Times New Roman" w:cs="Times New Roman" w:eastAsia="Times New Roman" w:hAnsi="Times New Roman"/>
          <w:sz w:val="20"/>
          <w:szCs w:val="20"/>
        </w:rPr>
        <w:t xml:space="preserve">SimCLR (Simple Framework for Contrastive Learning of Visual Representations) was employed as the SSL framework. The pipeline consists of three phases:</w:t>
      </w:r>
    </w:p>
    <w:p>
      <w:pPr>
        <w:pStyle w:val="ListParagraph"/>
        <w:numPr>
          <w:ilvl w:val="0"/>
          <w:numId w:val="2"/>
        </w:numPr>
      </w:pPr>
      <w:r>
        <w:rPr>
          <w:rFonts w:ascii="Times New Roman" w:cs="Times New Roman" w:eastAsia="Times New Roman" w:hAnsi="Times New Roman"/>
          <w:b/>
          <w:bCs/>
          <w:sz w:val="20"/>
          <w:szCs w:val="20"/>
        </w:rPr>
        <w:t xml:space="preserve">Phase 1 — Self-Supervised Pretraining: </w:t>
      </w:r>
      <w:r>
        <w:rPr>
          <w:rFonts w:ascii="Times New Roman" w:cs="Times New Roman" w:eastAsia="Times New Roman" w:hAnsi="Times New Roman"/>
          <w:sz w:val="20"/>
          <w:szCs w:val="20"/>
        </w:rPr>
        <w:t xml:space="preserve">A ResNet-18 backbone with a 3-layer MLP projection head (output dim = 128) was trained using the NT-Xent contrastive loss for 5 epochs with batch size 16, learning rate 3×10⁻⁴ and cosine annealing. Two random augmented views per image were generated as positive pairs. SSL loss decreased from 2.578 to 1.024 over training.</w:t>
      </w:r>
    </w:p>
    <w:p>
      <w:pPr>
        <w:pStyle w:val="ListParagraph"/>
        <w:numPr>
          <w:ilvl w:val="0"/>
          <w:numId w:val="2"/>
        </w:numPr>
      </w:pPr>
      <w:r>
        <w:rPr>
          <w:rFonts w:ascii="Times New Roman" w:cs="Times New Roman" w:eastAsia="Times New Roman" w:hAnsi="Times New Roman"/>
          <w:b/>
          <w:bCs/>
          <w:sz w:val="20"/>
          <w:szCs w:val="20"/>
        </w:rPr>
        <w:t xml:space="preserve">Phase 2 — Downstream Evaluation: </w:t>
      </w:r>
      <w:r>
        <w:rPr>
          <w:rFonts w:ascii="Times New Roman" w:cs="Times New Roman" w:eastAsia="Times New Roman" w:hAnsi="Times New Roman"/>
          <w:sz w:val="20"/>
          <w:szCs w:val="20"/>
        </w:rPr>
        <w:t xml:space="preserve">The frozen encoder (512-d feature vectors) was evaluated using: (a) Linear Probe — single linear classifier; (b) MLP Head — 2-layer MLP classifier; (c) Random Forest and SVM on extracted features; (d) Decision Tree; and (e) Full Fine-Tuning of encoder + head.</w:t>
      </w:r>
    </w:p>
    <w:p>
      <w:pPr>
        <w:pStyle w:val="ListParagraph"/>
        <w:numPr>
          <w:ilvl w:val="0"/>
          <w:numId w:val="2"/>
        </w:numPr>
      </w:pPr>
      <w:r>
        <w:rPr>
          <w:rFonts w:ascii="Times New Roman" w:cs="Times New Roman" w:eastAsia="Times New Roman" w:hAnsi="Times New Roman"/>
          <w:b/>
          <w:bCs/>
          <w:sz w:val="20"/>
          <w:szCs w:val="20"/>
        </w:rPr>
        <w:t xml:space="preserve">Phase 3 — Embedding Analysis: </w:t>
      </w:r>
      <w:r>
        <w:rPr>
          <w:rFonts w:ascii="Times New Roman" w:cs="Times New Roman" w:eastAsia="Times New Roman" w:hAnsi="Times New Roman"/>
          <w:sz w:val="20"/>
          <w:szCs w:val="20"/>
        </w:rPr>
        <w:t xml:space="preserve">Dimensionality reduction (t-SNE, UMAP), k-NN retrieval (k=1,5,20), Silhouette score, and label-fraction probing were performed to assess learned representation quality.</w:t>
      </w:r>
    </w:p>
    <w:p>
      <w:pPr>
        <w:spacing w:after="80" w:before="0"/>
      </w:pP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V. EXPERIMENTAL RESULTS</w:t>
      </w:r>
    </w:p>
    <w:p>
      <w:pPr>
        <w:spacing w:after="80" w:before="160"/>
      </w:pPr>
      <w:r>
        <w:rPr>
          <w:rFonts w:ascii="Times New Roman" w:cs="Times New Roman" w:eastAsia="Times New Roman" w:hAnsi="Times New Roman"/>
          <w:b/>
          <w:bCs/>
          <w:i/>
          <w:iCs/>
          <w:sz w:val="21"/>
          <w:szCs w:val="21"/>
        </w:rPr>
        <w:t xml:space="preserve">A. Supervised Learning Results</w:t>
      </w:r>
    </w:p>
    <w:p>
      <w:pPr>
        <w:spacing w:after="80" w:before="80"/>
        <w:jc w:val="both"/>
      </w:pPr>
      <w:r>
        <w:rPr>
          <w:rFonts w:ascii="Times New Roman" w:cs="Times New Roman" w:eastAsia="Times New Roman" w:hAnsi="Times New Roman"/>
          <w:sz w:val="20"/>
          <w:szCs w:val="20"/>
        </w:rPr>
        <w:t xml:space="preserve">Table II presents the final test performance of all five supervised models on the 90:10 split. GoogleNet achieved the best test accuracy of 96.21% with a macro F1-score of 96.42% and ROC-AUC of 0.9997, making it the top-performing model despite lower computational cost compared to ResNet variants.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200"/>
      </w:tblGrid>
      <w:tr>
        <w:trPr>
          <w:tblHeader/>
        </w:trPr>
        <w:tc>
          <w:tcPr>
            <w:tcW w:type="dxa" w:w="20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Model</w:t>
            </w:r>
          </w:p>
        </w:tc>
        <w:tc>
          <w:tcPr>
            <w:tcW w:type="dxa" w:w="16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Test Acc.</w:t>
            </w:r>
          </w:p>
        </w:tc>
        <w:tc>
          <w:tcPr>
            <w:tcW w:type="dxa" w:w="16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F1 (Mac.)</w:t>
            </w:r>
          </w:p>
        </w:tc>
        <w:tc>
          <w:tcPr>
            <w:tcW w:type="dxa" w:w="16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ROC-AUC</w:t>
            </w:r>
          </w:p>
        </w:tc>
        <w:tc>
          <w:tcPr>
            <w:tcW w:type="dxa" w:w="22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GFLOPs</w:t>
            </w:r>
          </w:p>
        </w:tc>
      </w:tr>
      <w:tr>
        <w:trPr>
          <w:tblHeader w:val="false"/>
        </w:trP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18"/>
                <w:szCs w:val="18"/>
              </w:rPr>
              <w:t xml:space="preserve">GoogleNet</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18"/>
                <w:szCs w:val="18"/>
              </w:rPr>
              <w:t xml:space="preserve">96.21%</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96.42%</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0.9997</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1.50</w:t>
            </w:r>
          </w:p>
        </w:tc>
      </w:tr>
      <w:tr>
        <w:trPr>
          <w:tblHeader w:val="false"/>
        </w:trPr>
        <w:tc>
          <w:tcPr>
            <w:tcW w:type="dxa" w:w="2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MobileNetV3-L</w:t>
            </w:r>
          </w:p>
        </w:tc>
        <w:tc>
          <w:tcPr>
            <w:tcW w:type="dxa" w:w="16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94.42%</w:t>
            </w:r>
          </w:p>
        </w:tc>
        <w:tc>
          <w:tcPr>
            <w:tcW w:type="dxa" w:w="16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93.29%</w:t>
            </w:r>
          </w:p>
        </w:tc>
        <w:tc>
          <w:tcPr>
            <w:tcW w:type="dxa" w:w="16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0.9997</w:t>
            </w:r>
          </w:p>
        </w:tc>
        <w:tc>
          <w:tcPr>
            <w:tcW w:type="dxa" w:w="22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0.22</w:t>
            </w:r>
          </w:p>
        </w:tc>
      </w:tr>
      <w:tr>
        <w:trPr>
          <w:tblHeader w:val="false"/>
        </w:trP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ViT-B/16</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93.53%</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92.46%</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0.9988</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w:t>
            </w:r>
          </w:p>
        </w:tc>
      </w:tr>
      <w:tr>
        <w:trPr>
          <w:tblHeader w:val="false"/>
        </w:trPr>
        <w:tc>
          <w:tcPr>
            <w:tcW w:type="dxa" w:w="2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ResNet-50</w:t>
            </w:r>
          </w:p>
        </w:tc>
        <w:tc>
          <w:tcPr>
            <w:tcW w:type="dxa" w:w="16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93.08%</w:t>
            </w:r>
          </w:p>
        </w:tc>
        <w:tc>
          <w:tcPr>
            <w:tcW w:type="dxa" w:w="16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91.62%</w:t>
            </w:r>
          </w:p>
        </w:tc>
        <w:tc>
          <w:tcPr>
            <w:tcW w:type="dxa" w:w="16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0.9980</w:t>
            </w:r>
          </w:p>
        </w:tc>
        <w:tc>
          <w:tcPr>
            <w:tcW w:type="dxa" w:w="22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4.10</w:t>
            </w:r>
          </w:p>
        </w:tc>
      </w:tr>
      <w:tr>
        <w:trPr>
          <w:tblHeader w:val="false"/>
        </w:trPr>
        <w:tc>
          <w:tcPr>
            <w:tcW w:type="dxa" w:w="2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ResNet-101</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92.41%</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88.49%</w:t>
            </w:r>
          </w:p>
        </w:tc>
        <w:tc>
          <w:tcPr>
            <w:tcW w:type="dxa" w:w="16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0.9988</w:t>
            </w:r>
          </w:p>
        </w:tc>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7.80</w:t>
            </w:r>
          </w:p>
        </w:tc>
      </w:tr>
    </w:tbl>
    <w:p>
      <w:pPr>
        <w:spacing w:after="120" w:before="60"/>
        <w:jc w:val="center"/>
      </w:pPr>
      <w:r>
        <w:rPr>
          <w:rFonts w:ascii="Times New Roman" w:cs="Times New Roman" w:eastAsia="Times New Roman" w:hAnsi="Times New Roman"/>
          <w:i/>
          <w:iCs/>
          <w:sz w:val="18"/>
          <w:szCs w:val="18"/>
        </w:rPr>
        <w:t xml:space="preserve">Table II: Supervised model test performance (90:10 split).</w:t>
      </w:r>
    </w:p>
    <w:p>
      <w:pPr>
        <w:spacing w:after="80" w:before="80"/>
        <w:jc w:val="both"/>
      </w:pPr>
      <w:r>
        <w:rPr>
          <w:rFonts w:ascii="Times New Roman" w:cs="Times New Roman" w:eastAsia="Times New Roman" w:hAnsi="Times New Roman"/>
          <w:sz w:val="20"/>
          <w:szCs w:val="20"/>
        </w:rPr>
        <w:t xml:space="preserve">Across all split ratios, the 90:10 configuration consistently produced the best results. MobileNetV3-Large demonstrated the best efficiency-accuracy trade-off with the lowest GFLOPs (0.22). ViT-B/16 showed slower initial convergence (val acc 12.66% at epoch 1) compared to convolutional models, consistent with its data-hungry nature.</w:t>
      </w:r>
    </w:p>
    <w:p>
      <w:pPr>
        <w:spacing w:after="80" w:before="160"/>
      </w:pPr>
      <w:r>
        <w:rPr>
          <w:rFonts w:ascii="Times New Roman" w:cs="Times New Roman" w:eastAsia="Times New Roman" w:hAnsi="Times New Roman"/>
          <w:b/>
          <w:bCs/>
          <w:i/>
          <w:iCs/>
          <w:sz w:val="21"/>
          <w:szCs w:val="21"/>
        </w:rPr>
        <w:t xml:space="preserve">B. SSL Pretraining Results</w:t>
      </w:r>
    </w:p>
    <w:p>
      <w:pPr>
        <w:spacing w:after="80" w:before="80"/>
        <w:jc w:val="both"/>
      </w:pPr>
      <w:r>
        <w:rPr>
          <w:rFonts w:ascii="Times New Roman" w:cs="Times New Roman" w:eastAsia="Times New Roman" w:hAnsi="Times New Roman"/>
          <w:sz w:val="20"/>
          <w:szCs w:val="20"/>
        </w:rPr>
        <w:t xml:space="preserve">The SimCLR encoder was pretrained for 5 epochs. Table III summarizes the NT-Xent loss progression, demonstrating steady contrastive representation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Epoch</w:t>
            </w:r>
          </w:p>
        </w:tc>
        <w:tc>
          <w:tcPr>
            <w:tcW w:type="dxa" w:w="225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SSL Loss</w:t>
            </w:r>
          </w:p>
        </w:tc>
        <w:tc>
          <w:tcPr>
            <w:tcW w:type="dxa" w:w="225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Time (s)</w:t>
            </w:r>
          </w:p>
        </w:tc>
        <w:tc>
          <w:tcPr>
            <w:tcW w:type="dxa" w:w="225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LR</w:t>
            </w:r>
          </w:p>
        </w:tc>
      </w:tr>
      <w:tr>
        <w:trPr>
          <w:tblHeader w:val="false"/>
        </w:trPr>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2.5781</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43.0</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2.71×10⁻⁴</w:t>
            </w:r>
          </w:p>
        </w:tc>
      </w:tr>
      <w:tr>
        <w:trPr>
          <w:tblHeader w:val="false"/>
        </w:trPr>
        <w:tc>
          <w:tcPr>
            <w:tcW w:type="dxa" w:w="225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w:t>
            </w:r>
          </w:p>
        </w:tc>
        <w:tc>
          <w:tcPr>
            <w:tcW w:type="dxa" w:w="225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1.7776</w:t>
            </w:r>
          </w:p>
        </w:tc>
        <w:tc>
          <w:tcPr>
            <w:tcW w:type="dxa" w:w="225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36.1</w:t>
            </w:r>
          </w:p>
        </w:tc>
        <w:tc>
          <w:tcPr>
            <w:tcW w:type="dxa" w:w="225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1.96×10⁻⁴</w:t>
            </w:r>
          </w:p>
        </w:tc>
      </w:tr>
      <w:tr>
        <w:trPr>
          <w:tblHeader w:val="false"/>
        </w:trPr>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1.3717</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36.0</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1.04×10⁻⁴</w:t>
            </w:r>
          </w:p>
        </w:tc>
      </w:tr>
      <w:tr>
        <w:trPr>
          <w:tblHeader w:val="false"/>
        </w:trPr>
        <w:tc>
          <w:tcPr>
            <w:tcW w:type="dxa" w:w="225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w:t>
            </w:r>
          </w:p>
        </w:tc>
        <w:tc>
          <w:tcPr>
            <w:tcW w:type="dxa" w:w="225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1.1171</w:t>
            </w:r>
          </w:p>
        </w:tc>
        <w:tc>
          <w:tcPr>
            <w:tcW w:type="dxa" w:w="225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35.7</w:t>
            </w:r>
          </w:p>
        </w:tc>
        <w:tc>
          <w:tcPr>
            <w:tcW w:type="dxa" w:w="225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2.9×10⁻⁵</w:t>
            </w:r>
          </w:p>
        </w:tc>
      </w:tr>
      <w:tr>
        <w:trPr>
          <w:tblHeader w:val="false"/>
        </w:trPr>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1.0244</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35.7</w:t>
            </w:r>
          </w:p>
        </w:tc>
        <w:tc>
          <w:tcPr>
            <w:tcW w:type="dxa" w:w="225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0.0</w:t>
            </w:r>
          </w:p>
        </w:tc>
      </w:tr>
    </w:tbl>
    <w:p>
      <w:pPr>
        <w:spacing w:after="120" w:before="60"/>
        <w:jc w:val="center"/>
      </w:pPr>
      <w:r>
        <w:rPr>
          <w:rFonts w:ascii="Times New Roman" w:cs="Times New Roman" w:eastAsia="Times New Roman" w:hAnsi="Times New Roman"/>
          <w:i/>
          <w:iCs/>
          <w:sz w:val="18"/>
          <w:szCs w:val="18"/>
        </w:rPr>
        <w:t xml:space="preserve">Table III: SimCLR pretraining loss per epoch.</w:t>
      </w:r>
    </w:p>
    <w:p>
      <w:pPr>
        <w:spacing w:after="80" w:before="160"/>
      </w:pPr>
      <w:r>
        <w:rPr>
          <w:rFonts w:ascii="Times New Roman" w:cs="Times New Roman" w:eastAsia="Times New Roman" w:hAnsi="Times New Roman"/>
          <w:b/>
          <w:bCs/>
          <w:i/>
          <w:iCs/>
          <w:sz w:val="21"/>
          <w:szCs w:val="21"/>
        </w:rPr>
        <w:t xml:space="preserve">C. SSL Downstream Evaluation</w:t>
      </w:r>
    </w:p>
    <w:p>
      <w:pPr>
        <w:spacing w:after="80" w:before="80"/>
        <w:jc w:val="both"/>
      </w:pPr>
      <w:r>
        <w:rPr>
          <w:rFonts w:ascii="Times New Roman" w:cs="Times New Roman" w:eastAsia="Times New Roman" w:hAnsi="Times New Roman"/>
          <w:sz w:val="20"/>
          <w:szCs w:val="20"/>
        </w:rPr>
        <w:t xml:space="preserve">Table IV shows the downstream performance of various classifiers applied to frozen SimCLR features (512-d). Random Forest achieved the highest test accuracy (74.78%) among all SSL evaluation methods, significantly outperforming full fine-tuning (49.78%) which suffered from instability with only 5 SSL pretraining epochs.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300"/>
        <w:gridCol w:w="1300"/>
      </w:tblGrid>
      <w:tr>
        <w:trPr>
          <w:tblHeader/>
        </w:trPr>
        <w:tc>
          <w:tcPr>
            <w:tcW w:type="dxa" w:w="22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Method</w:t>
            </w:r>
          </w:p>
        </w:tc>
        <w:tc>
          <w:tcPr>
            <w:tcW w:type="dxa" w:w="14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Accuracy</w:t>
            </w:r>
          </w:p>
        </w:tc>
        <w:tc>
          <w:tcPr>
            <w:tcW w:type="dxa" w:w="14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Precision</w:t>
            </w:r>
          </w:p>
        </w:tc>
        <w:tc>
          <w:tcPr>
            <w:tcW w:type="dxa" w:w="14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Recall</w:t>
            </w:r>
          </w:p>
        </w:tc>
        <w:tc>
          <w:tcPr>
            <w:tcW w:type="dxa" w:w="13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F1</w:t>
            </w:r>
          </w:p>
        </w:tc>
        <w:tc>
          <w:tcPr>
            <w:tcW w:type="dxa" w:w="13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ROC-AUC</w:t>
            </w:r>
          </w:p>
        </w:tc>
      </w:tr>
      <w:tr>
        <w:trPr>
          <w:tblHeader w:val="false"/>
        </w:trP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18"/>
                <w:szCs w:val="18"/>
              </w:rPr>
              <w:t xml:space="preserve">Random Forest</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18"/>
                <w:szCs w:val="18"/>
              </w:rPr>
              <w:t xml:space="preserve">74.78%</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79.72%</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64.29%</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68.62%</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0.9854</w:t>
            </w:r>
          </w:p>
        </w:tc>
      </w:tr>
      <w:tr>
        <w:trPr>
          <w:tblHeader w:val="false"/>
        </w:trPr>
        <w:tc>
          <w:tcPr>
            <w:tcW w:type="dxa" w:w="22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SVM</w:t>
            </w:r>
          </w:p>
        </w:tc>
        <w:tc>
          <w:tcPr>
            <w:tcW w:type="dxa" w:w="14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68.30%</w:t>
            </w:r>
          </w:p>
        </w:tc>
        <w:tc>
          <w:tcPr>
            <w:tcW w:type="dxa" w:w="14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68.59%</w:t>
            </w:r>
          </w:p>
        </w:tc>
        <w:tc>
          <w:tcPr>
            <w:tcW w:type="dxa" w:w="14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63.33%</w:t>
            </w:r>
          </w:p>
        </w:tc>
        <w:tc>
          <w:tcPr>
            <w:tcW w:type="dxa" w:w="13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64.05%</w:t>
            </w:r>
          </w:p>
        </w:tc>
        <w:tc>
          <w:tcPr>
            <w:tcW w:type="dxa" w:w="13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0.8129</w:t>
            </w:r>
          </w:p>
        </w:tc>
      </w:tr>
      <w:tr>
        <w:trPr>
          <w:tblHeader w:val="false"/>
        </w:trP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Full Fine-Tuning</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49.78%</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28.43%</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29.46%</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26.54%</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0.9511</w:t>
            </w:r>
          </w:p>
        </w:tc>
      </w:tr>
      <w:tr>
        <w:trPr>
          <w:tblHeader w:val="false"/>
        </w:trPr>
        <w:tc>
          <w:tcPr>
            <w:tcW w:type="dxa" w:w="22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Decision Tree</w:t>
            </w:r>
          </w:p>
        </w:tc>
        <w:tc>
          <w:tcPr>
            <w:tcW w:type="dxa" w:w="14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47.77%</w:t>
            </w:r>
          </w:p>
        </w:tc>
        <w:tc>
          <w:tcPr>
            <w:tcW w:type="dxa" w:w="14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41.55%</w:t>
            </w:r>
          </w:p>
        </w:tc>
        <w:tc>
          <w:tcPr>
            <w:tcW w:type="dxa" w:w="14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39.96%</w:t>
            </w:r>
          </w:p>
        </w:tc>
        <w:tc>
          <w:tcPr>
            <w:tcW w:type="dxa" w:w="13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39.38%</w:t>
            </w:r>
          </w:p>
        </w:tc>
        <w:tc>
          <w:tcPr>
            <w:tcW w:type="dxa" w:w="13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0.6937</w:t>
            </w:r>
          </w:p>
        </w:tc>
      </w:tr>
      <w:tr>
        <w:trPr>
          <w:tblHeader w:val="false"/>
        </w:trPr>
        <w:tc>
          <w:tcPr>
            <w:tcW w:type="dxa" w:w="22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MLP Head</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35.27%</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16.74%</w:t>
            </w:r>
          </w:p>
        </w:tc>
        <w:tc>
          <w:tcPr>
            <w:tcW w:type="dxa" w:w="14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19.92%</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17.07%</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w:t>
            </w:r>
          </w:p>
        </w:tc>
      </w:tr>
    </w:tbl>
    <w:p>
      <w:pPr>
        <w:spacing w:after="120" w:before="60"/>
        <w:jc w:val="center"/>
      </w:pPr>
      <w:r>
        <w:rPr>
          <w:rFonts w:ascii="Times New Roman" w:cs="Times New Roman" w:eastAsia="Times New Roman" w:hAnsi="Times New Roman"/>
          <w:i/>
          <w:iCs/>
          <w:sz w:val="18"/>
          <w:szCs w:val="18"/>
        </w:rPr>
        <w:t xml:space="preserve">Table IV: SSL downstream evaluation results.</w:t>
      </w:r>
    </w:p>
    <w:p>
      <w:pPr>
        <w:spacing w:after="80" w:before="160"/>
      </w:pPr>
      <w:r>
        <w:rPr>
          <w:rFonts w:ascii="Times New Roman" w:cs="Times New Roman" w:eastAsia="Times New Roman" w:hAnsi="Times New Roman"/>
          <w:b/>
          <w:bCs/>
          <w:i/>
          <w:iCs/>
          <w:sz w:val="21"/>
          <w:szCs w:val="21"/>
        </w:rPr>
        <w:t xml:space="preserve">D. Embedding Space Analysis (Task 6)</w:t>
      </w:r>
    </w:p>
    <w:p>
      <w:pPr>
        <w:spacing w:after="80" w:before="80"/>
        <w:jc w:val="both"/>
      </w:pPr>
      <w:r>
        <w:rPr>
          <w:rFonts w:ascii="Times New Roman" w:cs="Times New Roman" w:eastAsia="Times New Roman" w:hAnsi="Times New Roman"/>
          <w:sz w:val="20"/>
          <w:szCs w:val="20"/>
        </w:rPr>
        <w:t xml:space="preserve">Embedding quality was assessed through multiple metrics. The Silhouette score of −0.191 indicates significant class overlap in the 512-d feature space, expected given 44 fine-grained tumor classes with subtle visual differences. Despite this, k-NN retrieval performance was notably strong: k-NN@1 = 86.83%, k-NN@5 = 72.10%, and k-NN@20 = 59.15%, suggesting that nearest neighbors in embedding space largely belong to the same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val="false"/>
        </w:trPr>
        <w:tc>
          <w:tcPr>
            <w:tcW w:type="dxa" w:w="30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Metric</w:t>
            </w:r>
          </w:p>
        </w:tc>
        <w:tc>
          <w:tcPr>
            <w:tcW w:type="dxa" w:w="30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Value</w:t>
            </w:r>
          </w:p>
        </w:tc>
        <w:tc>
          <w:tcPr>
            <w:tcW w:type="dxa" w:w="30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Interpretation</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k-NN @ 1</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86.83%</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Strong local structure</w:t>
            </w:r>
          </w:p>
        </w:tc>
      </w:tr>
      <w:tr>
        <w:trPr>
          <w:tblHeader w:val="false"/>
        </w:trPr>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k-NN @ 5</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72.10%</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Good neighborhood purity</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k-NN @ 20</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59.15%</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Moderate at larger k</w:t>
            </w:r>
          </w:p>
        </w:tc>
      </w:tr>
      <w:tr>
        <w:trPr>
          <w:tblHeader w:val="false"/>
        </w:trPr>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Silhouette Score</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−0.191</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High class overlap (44 classes)</w:t>
            </w:r>
          </w:p>
        </w:tc>
      </w:tr>
    </w:tbl>
    <w:p>
      <w:pPr>
        <w:spacing w:after="120" w:before="60"/>
        <w:jc w:val="center"/>
      </w:pPr>
      <w:r>
        <w:rPr>
          <w:rFonts w:ascii="Times New Roman" w:cs="Times New Roman" w:eastAsia="Times New Roman" w:hAnsi="Times New Roman"/>
          <w:i/>
          <w:iCs/>
          <w:sz w:val="18"/>
          <w:szCs w:val="18"/>
        </w:rPr>
        <w:t xml:space="preserve">Table V: Embedding space quality metrics.</w:t>
      </w:r>
    </w:p>
    <w:p>
      <w:pPr>
        <w:spacing w:after="80" w:before="80"/>
        <w:jc w:val="both"/>
      </w:pPr>
      <w:r>
        <w:rPr>
          <w:rFonts w:ascii="Times New Roman" w:cs="Times New Roman" w:eastAsia="Times New Roman" w:hAnsi="Times New Roman"/>
          <w:sz w:val="20"/>
          <w:szCs w:val="20"/>
        </w:rPr>
        <w:t xml:space="preserve">Label-fraction probing revealed limited scalability: using only 1% of labels (48 samples) achieved 10.17% accuracy, which improved to 16.87% with 50% labels — underscoring that 5 pretraining epochs are insufficient for robust transfer, and longer pretraining is necessary to leverage the SSL representations fully.</w:t>
      </w: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VI. SUPERVISED VS. SSL COMPARISON</w:t>
      </w:r>
    </w:p>
    <w:p>
      <w:pPr>
        <w:spacing w:after="80" w:before="80"/>
        <w:jc w:val="both"/>
      </w:pPr>
      <w:r>
        <w:rPr>
          <w:rFonts w:ascii="Times New Roman" w:cs="Times New Roman" w:eastAsia="Times New Roman" w:hAnsi="Times New Roman"/>
          <w:sz w:val="20"/>
          <w:szCs w:val="20"/>
        </w:rPr>
        <w:t xml:space="preserve">Table VI provides a direct comparison between the best supervised model (GoogleNet, 90:10 split) and the best SSL downstream result (Random Forest on frozen SimCLR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val="false"/>
        </w:trPr>
        <w:tc>
          <w:tcPr>
            <w:tcW w:type="dxa" w:w="30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Criterion</w:t>
            </w:r>
          </w:p>
        </w:tc>
        <w:tc>
          <w:tcPr>
            <w:tcW w:type="dxa" w:w="30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Supervised (GoogleNet)</w:t>
            </w:r>
          </w:p>
        </w:tc>
        <w:tc>
          <w:tcPr>
            <w:tcW w:type="dxa" w:w="3000"/>
            <w:tcBorders>
              <w:top w:val="single" w:color="AAAAAA" w:sz="4"/>
              <w:left w:val="single" w:color="AAAAAA" w:sz="4"/>
              <w:bottom w:val="single" w:color="AAAAAA" w:sz="4"/>
              <w:right w:val="single" w:color="AAAAAA" w:sz="4"/>
            </w:tcBorders>
            <w:shd w:fill="1A3C6E" w:val="clear"/>
            <w:tcMar>
              <w:top w:type="dxa" w:w="60"/>
              <w:left w:type="dxa" w:w="100"/>
              <w:bottom w:type="dxa" w:w="60"/>
              <w:right w:type="dxa" w:w="100"/>
            </w:tcMar>
            <w:vAlign w:val="center"/>
          </w:tcPr>
          <w:p>
            <w:pPr>
              <w:jc w:val="center"/>
            </w:pPr>
            <w:r>
              <w:rPr>
                <w:rFonts w:ascii="Times New Roman" w:cs="Times New Roman" w:eastAsia="Times New Roman" w:hAnsi="Times New Roman"/>
                <w:b/>
                <w:bCs/>
                <w:color w:val="FFFFFF"/>
                <w:sz w:val="18"/>
                <w:szCs w:val="18"/>
              </w:rPr>
              <w:t xml:space="preserve">SSL + RF</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Test Accuracy</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bCs/>
                <w:color w:val="000000"/>
                <w:sz w:val="18"/>
                <w:szCs w:val="18"/>
              </w:rPr>
              <w:t xml:space="preserve">96.21%</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74.78%</w:t>
            </w:r>
          </w:p>
        </w:tc>
      </w:tr>
      <w:tr>
        <w:trPr>
          <w:tblHeader w:val="false"/>
        </w:trPr>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F1 Score (Macro)</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96.42%</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68.62%</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ROC-AUC</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0.9997</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0.9854</w:t>
            </w:r>
          </w:p>
        </w:tc>
      </w:tr>
      <w:tr>
        <w:trPr>
          <w:tblHeader w:val="false"/>
        </w:trPr>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Labeled Data</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All (3,628)</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All (features)</w:t>
            </w:r>
          </w:p>
        </w:tc>
      </w:tr>
      <w:tr>
        <w:trPr>
          <w:tblHeader w:val="false"/>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Training Time</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~745 s (50 ep.)</w:t>
            </w:r>
          </w:p>
        </w:tc>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~185 s (5 ep. SSL)</w:t>
            </w:r>
          </w:p>
        </w:tc>
      </w:tr>
      <w:tr>
        <w:trPr>
          <w:tblHeader w:val="false"/>
        </w:trPr>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Accuracy Gap</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w:t>
            </w:r>
          </w:p>
        </w:tc>
        <w:tc>
          <w:tcPr>
            <w:tcW w:type="dxa" w:w="3000"/>
            <w:tcBorders>
              <w:top w:val="single" w:color="AAAAAA" w:sz="4"/>
              <w:left w:val="single" w:color="AAAAAA" w:sz="4"/>
              <w:bottom w:val="single" w:color="AAAAAA" w:sz="4"/>
              <w:right w:val="single" w:color="AAAAAA" w:sz="4"/>
            </w:tcBorders>
            <w:shd w:fill="F0F4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color w:val="000000"/>
                <w:sz w:val="18"/>
                <w:szCs w:val="18"/>
              </w:rPr>
              <w:t xml:space="preserve">−21.43%</w:t>
            </w:r>
          </w:p>
        </w:tc>
      </w:tr>
    </w:tbl>
    <w:p>
      <w:pPr>
        <w:spacing w:after="120" w:before="60"/>
        <w:jc w:val="center"/>
      </w:pPr>
      <w:r>
        <w:rPr>
          <w:rFonts w:ascii="Times New Roman" w:cs="Times New Roman" w:eastAsia="Times New Roman" w:hAnsi="Times New Roman"/>
          <w:i/>
          <w:iCs/>
          <w:sz w:val="18"/>
          <w:szCs w:val="18"/>
        </w:rPr>
        <w:t xml:space="preserve">Table VI: Supervised vs. SSL head-to-head comparison.</w:t>
      </w:r>
    </w:p>
    <w:p>
      <w:pPr>
        <w:spacing w:after="80" w:before="80"/>
        <w:jc w:val="both"/>
      </w:pPr>
      <w:r>
        <w:rPr>
          <w:rFonts w:ascii="Times New Roman" w:cs="Times New Roman" w:eastAsia="Times New Roman" w:hAnsi="Times New Roman"/>
          <w:sz w:val="20"/>
          <w:szCs w:val="20"/>
        </w:rPr>
        <w:t xml:space="preserve">The 21.43% accuracy gap demonstrates that for this dataset size and pretraining budget, supervised fine-tuning of pretrained ImageNet models significantly outperforms SSL. However, the strong k-NN@1 score (86.83%) suggests that with longer pretraining (800+ epochs as recommended in SimCLR), SSL could close this gap substantially.</w:t>
      </w: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VII. DISCUSSION</w:t>
      </w:r>
    </w:p>
    <w:p>
      <w:pPr>
        <w:spacing w:after="80" w:before="80"/>
        <w:jc w:val="both"/>
      </w:pPr>
      <w:r>
        <w:rPr>
          <w:rFonts w:ascii="Times New Roman" w:cs="Times New Roman" w:eastAsia="Times New Roman" w:hAnsi="Times New Roman"/>
          <w:sz w:val="20"/>
          <w:szCs w:val="20"/>
        </w:rPr>
        <w:t xml:space="preserve">Several key insights emerge from our experiments. First, GoogleNet's superiority over deeper models (ResNet-50, ResNet-101) despite fewer parameters suggests that architectural efficiency — specifically Inception modules' multi-scale feature extraction — is advantageous for the diverse morphology present across 44 tumor classes.</w:t>
      </w:r>
    </w:p>
    <w:p>
      <w:pPr>
        <w:spacing w:after="80" w:before="80"/>
        <w:jc w:val="both"/>
      </w:pPr>
      <w:r>
        <w:rPr>
          <w:rFonts w:ascii="Times New Roman" w:cs="Times New Roman" w:eastAsia="Times New Roman" w:hAnsi="Times New Roman"/>
          <w:sz w:val="20"/>
          <w:szCs w:val="20"/>
        </w:rPr>
        <w:t xml:space="preserve">Second, MobileNetV3-Large offers the best practical trade-off: 94.42% accuracy at 0.22 GFLOPs, making it the most suitable candidate for resource-constrained clinical edge deployment. ViT-B/16's slower convergence aligns with known data-efficiency limitations of transformers trained from scratch.</w:t>
      </w:r>
    </w:p>
    <w:p>
      <w:pPr>
        <w:spacing w:after="80" w:before="80"/>
        <w:jc w:val="both"/>
      </w:pPr>
      <w:r>
        <w:rPr>
          <w:rFonts w:ascii="Times New Roman" w:cs="Times New Roman" w:eastAsia="Times New Roman" w:hAnsi="Times New Roman"/>
          <w:sz w:val="20"/>
          <w:szCs w:val="20"/>
        </w:rPr>
        <w:t xml:space="preserve">Third, the strong Random Forest performance on SSL features (74.78%) compared to neural downstream heads suggests that the SimCLR embeddings, while not perfectly separable in high-dimensional space, exhibit structured clusters exploitable by traditional classifiers. This is a practically useful finding: once SSL pretraining is complete, computationally cheap RF classifiers can be rapidly deployed.</w:t>
      </w:r>
    </w:p>
    <w:p>
      <w:pPr>
        <w:spacing w:after="80" w:before="80"/>
        <w:jc w:val="both"/>
      </w:pPr>
      <w:r>
        <w:rPr>
          <w:rFonts w:ascii="Times New Roman" w:cs="Times New Roman" w:eastAsia="Times New Roman" w:hAnsi="Times New Roman"/>
          <w:sz w:val="20"/>
          <w:szCs w:val="20"/>
        </w:rPr>
        <w:t xml:space="preserve">Fourth, the negative Silhouette score (−0.191) should not be over-interpreted. With 44 fine-grained classes sharing similar MRI morphology across modalities, perfect cluster separation is unlikely even with perfect representations. The k-NN metrics are a more meaningful gauge of representation quality for retrieval-based clinical applications.</w:t>
      </w: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VIII. CONCLUSION &amp; FUTURE WORK</w:t>
      </w:r>
    </w:p>
    <w:p>
      <w:pPr>
        <w:spacing w:after="80" w:before="80"/>
        <w:jc w:val="both"/>
      </w:pPr>
      <w:r>
        <w:rPr>
          <w:rFonts w:ascii="Times New Roman" w:cs="Times New Roman" w:eastAsia="Times New Roman" w:hAnsi="Times New Roman"/>
          <w:sz w:val="20"/>
          <w:szCs w:val="20"/>
        </w:rPr>
        <w:t xml:space="preserve">This study presented a systematic comparative analysis of supervised and semi-supervised learning for 44-class brain cancer MRI classification. Our supervised experiments established GoogleNet as the top performer (96.21% test accuracy), while MobileNetV3-Large provides the best efficiency-accuracy trade-off for edge deployment.</w:t>
      </w:r>
    </w:p>
    <w:p>
      <w:pPr>
        <w:spacing w:after="80" w:before="80"/>
        <w:jc w:val="both"/>
      </w:pPr>
      <w:r>
        <w:rPr>
          <w:rFonts w:ascii="Times New Roman" w:cs="Times New Roman" w:eastAsia="Times New Roman" w:hAnsi="Times New Roman"/>
          <w:sz w:val="20"/>
          <w:szCs w:val="20"/>
        </w:rPr>
        <w:t xml:space="preserve">Our SSL experiments with SimCLR demonstrated that even 5 pretraining epochs yield useful representations (k-NN@1 = 86.83%), but are insufficient to match fully supervised models. The 21.43% accuracy gap between best supervised and best SSL results motivates significantly extended pretraining and larger batch sizes as the primary direction for improvement.</w:t>
      </w:r>
    </w:p>
    <w:p>
      <w:pPr>
        <w:spacing w:after="80" w:before="80"/>
        <w:jc w:val="both"/>
      </w:pPr>
      <w:r>
        <w:rPr>
          <w:rFonts w:ascii="Times New Roman" w:cs="Times New Roman" w:eastAsia="Times New Roman" w:hAnsi="Times New Roman"/>
          <w:sz w:val="20"/>
          <w:szCs w:val="20"/>
        </w:rPr>
        <w:t xml:space="preserve">Future work will pursue: (1) extended SimCLR pretraining (800+ epochs, batch size 256+); (2) exploration of BYOL, DINO, and MoCo-v3 frameworks; (3) multi-modal MRI fusion (T1, T1C+, T2 combined); (4) Grad-CAM visualization for model interpretability; (5) clinical validation with radiologist evaluation; and (6) federated learning for privacy-preserving multi-hospital training.</w:t>
      </w:r>
    </w:p>
    <w:p>
      <w:pPr>
        <w:pBdr>
          <w:bottom w:val="single" w:color="003087" w:sz="6" w:space="4"/>
        </w:pBdr>
        <w:spacing w:after="120" w:before="240"/>
      </w:pPr>
      <w:r>
        <w:rPr>
          <w:rFonts w:ascii="Times New Roman" w:cs="Times New Roman" w:eastAsia="Times New Roman" w:hAnsi="Times New Roman"/>
          <w:b/>
          <w:bCs/>
          <w:color w:val="003087"/>
          <w:sz w:val="22"/>
          <w:szCs w:val="22"/>
        </w:rPr>
        <w:t xml:space="preserve">REFERENCES</w:t>
      </w:r>
    </w:p>
    <w:p>
      <w:pPr>
        <w:spacing w:after="60" w:before="60"/>
        <w:ind w:left="360" w:hanging="360"/>
      </w:pPr>
      <w:r>
        <w:rPr>
          <w:rFonts w:ascii="Times New Roman" w:cs="Times New Roman" w:eastAsia="Times New Roman" w:hAnsi="Times New Roman"/>
          <w:sz w:val="20"/>
          <w:szCs w:val="20"/>
        </w:rPr>
        <w:t xml:space="preserve">[1] T. Chen, S. Kornblith, M. Norouzi, and G. Hinton, "A Simple Framework for Contrastive Learning of Visual Representations," in Proc. ICML, 2020.</w:t>
      </w:r>
    </w:p>
    <w:p>
      <w:pPr>
        <w:spacing w:after="60" w:before="60"/>
        <w:ind w:left="360" w:hanging="360"/>
      </w:pPr>
      <w:r>
        <w:rPr>
          <w:rFonts w:ascii="Times New Roman" w:cs="Times New Roman" w:eastAsia="Times New Roman" w:hAnsi="Times New Roman"/>
          <w:sz w:val="20"/>
          <w:szCs w:val="20"/>
        </w:rPr>
        <w:t xml:space="preserve">[2] K. He, X. Zhang, S. Ren, and J. Sun, "Deep Residual Learning for Image Recognition," in Proc. CVPR, 2016, pp. 770–778.</w:t>
      </w:r>
    </w:p>
    <w:p>
      <w:pPr>
        <w:spacing w:after="60" w:before="60"/>
        <w:ind w:left="360" w:hanging="360"/>
      </w:pPr>
      <w:r>
        <w:rPr>
          <w:rFonts w:ascii="Times New Roman" w:cs="Times New Roman" w:eastAsia="Times New Roman" w:hAnsi="Times New Roman"/>
          <w:sz w:val="20"/>
          <w:szCs w:val="20"/>
        </w:rPr>
        <w:t xml:space="preserve">[3] A. Dosovitskiy et al., "An Image is Worth 16x16 Words: Transformers for Image Recognition at Scale," in Proc. ICLR, 2021.</w:t>
      </w:r>
    </w:p>
    <w:p>
      <w:pPr>
        <w:spacing w:after="60" w:before="60"/>
        <w:ind w:left="360" w:hanging="360"/>
      </w:pPr>
      <w:r>
        <w:rPr>
          <w:rFonts w:ascii="Times New Roman" w:cs="Times New Roman" w:eastAsia="Times New Roman" w:hAnsi="Times New Roman"/>
          <w:sz w:val="20"/>
          <w:szCs w:val="20"/>
        </w:rPr>
        <w:t xml:space="preserve">[4] M. Sandler, A. Howard, M. Zhu, A. Zhmoginov, and L.-C. Chen, "MobileNetV2: Inverted Residuals and Linear Bottlenecks," in Proc. CVPR, 2018.</w:t>
      </w:r>
    </w:p>
    <w:p>
      <w:pPr>
        <w:spacing w:after="60" w:before="60"/>
        <w:ind w:left="360" w:hanging="360"/>
      </w:pPr>
      <w:r>
        <w:rPr>
          <w:rFonts w:ascii="Times New Roman" w:cs="Times New Roman" w:eastAsia="Times New Roman" w:hAnsi="Times New Roman"/>
          <w:sz w:val="20"/>
          <w:szCs w:val="20"/>
        </w:rPr>
        <w:t xml:space="preserve">[5] C. Szegedy et al., "Going Deeper with Convolutions," in Proc. CVPR, 2015, pp. 1–9.</w:t>
      </w:r>
    </w:p>
    <w:p>
      <w:pPr>
        <w:spacing w:after="60" w:before="60"/>
        <w:ind w:left="360" w:hanging="360"/>
      </w:pPr>
      <w:r>
        <w:rPr>
          <w:rFonts w:ascii="Times New Roman" w:cs="Times New Roman" w:eastAsia="Times New Roman" w:hAnsi="Times New Roman"/>
          <w:sz w:val="20"/>
          <w:szCs w:val="20"/>
        </w:rPr>
        <w:t xml:space="preserve">[6] J. Grill et al., "Bootstrap Your Own Latent: A New Approach to Self-Supervised Learning," in Proc. NeurIPS, 2020.</w:t>
      </w:r>
    </w:p>
    <w:p>
      <w:pPr>
        <w:spacing w:after="60" w:before="60"/>
        <w:ind w:left="360" w:hanging="360"/>
      </w:pPr>
      <w:r>
        <w:rPr>
          <w:rFonts w:ascii="Times New Roman" w:cs="Times New Roman" w:eastAsia="Times New Roman" w:hAnsi="Times New Roman"/>
          <w:sz w:val="20"/>
          <w:szCs w:val="20"/>
        </w:rPr>
        <w:t xml:space="preserve">[7] M. Caron et al., "Emerging Properties in Self-Supervised Vision Transformers," in Proc. ICCV, 2021.</w:t>
      </w:r>
    </w:p>
    <w:p>
      <w:pPr>
        <w:spacing w:after="60" w:before="60"/>
        <w:ind w:left="360" w:hanging="360"/>
      </w:pPr>
      <w:r>
        <w:rPr>
          <w:rFonts w:ascii="Times New Roman" w:cs="Times New Roman" w:eastAsia="Times New Roman" w:hAnsi="Times New Roman"/>
          <w:sz w:val="20"/>
          <w:szCs w:val="20"/>
        </w:rPr>
        <w:t xml:space="preserve">[8] F. Fernando, "Brain Tumor MRI Images — 44 Classes," Kaggle Dataset, 2022. [Online]. Available: https://kaggle.com/datasets/fernando2rad/brain-tumor-mri-images-44c</w:t>
      </w:r>
    </w:p>
    <w:p>
      <w:pPr>
        <w:spacing w:after="60" w:before="60"/>
        <w:ind w:left="360" w:hanging="360"/>
      </w:pPr>
      <w:r>
        <w:rPr>
          <w:rFonts w:ascii="Times New Roman" w:cs="Times New Roman" w:eastAsia="Times New Roman" w:hAnsi="Times New Roman"/>
          <w:sz w:val="20"/>
          <w:szCs w:val="20"/>
        </w:rPr>
        <w:t xml:space="preserve">[9] L. van der Maaten and G. Hinton, "Visualizing Data using t-SNE," J. Mach. Learn. Res., vol. 9, pp. 2579–2605, 2008.</w:t>
      </w:r>
    </w:p>
    <w:p>
      <w:pPr>
        <w:spacing w:after="60" w:before="60"/>
        <w:ind w:left="360" w:hanging="360"/>
      </w:pPr>
      <w:r>
        <w:rPr>
          <w:rFonts w:ascii="Times New Roman" w:cs="Times New Roman" w:eastAsia="Times New Roman" w:hAnsi="Times New Roman"/>
          <w:sz w:val="20"/>
          <w:szCs w:val="20"/>
        </w:rPr>
        <w:t xml:space="preserve">[10] L. McInnes, J. Healy, and J. Melville, "UMAP: Uniform Manifold Approximation and Projection for Dimension Reduction," arXiv:1802.03426, 2018.</w:t>
      </w:r>
    </w:p>
    <w:sectPr>
      <w:headerReference w:type="default" r:id="rId7"/>
      <w:footerReference w:type="default" r:id="rId8"/>
      <w:pgSz w:w="12240" w:h="15840"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Times New Roman" w:cs="Times New Roman" w:eastAsia="Times New Roman" w:hAnsi="Times New Roman"/>
        <w:color w:val="777777"/>
        <w:sz w:val="16"/>
        <w:szCs w:val="16"/>
      </w:rPr>
      <w:t xml:space="preserve">© 2026 — ICE-478 Project Report   |   Page </w:t>
    </w:r>
    <w:r>
      <w:rPr>
        <w:rFonts w:ascii="Times New Roman" w:cs="Times New Roman" w:eastAsia="Times New Roman" w:hAnsi="Times New Roman"/>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center"/>
    </w:pPr>
    <w:r>
      <w:rPr>
        <w:rFonts w:ascii="Times New Roman" w:cs="Times New Roman" w:eastAsia="Times New Roman" w:hAnsi="Times New Roman"/>
        <w:i/>
        <w:iCs/>
        <w:color w:val="777777"/>
        <w:sz w:val="16"/>
        <w:szCs w:val="16"/>
      </w:rPr>
      <w:t xml:space="preserve">ICE-478 Course Project | Brain Cancer MRI Classification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upperRoman"/>
      <w:lvlText w:val="%1."/>
      <w:lvlJc w:val="left"/>
      <w:pPr>
        <w:ind w:left="5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2026-04-30T05:11:38.729Z</dcterms:created>
  <dcterms:modified xsi:type="dcterms:W3CDTF">2026-04-30T05:11:38.730Z</dcterms:modified>
</cp:coreProperties>
</file>

<file path=docProps/custom.xml><?xml version="1.0" encoding="utf-8"?>
<Properties xmlns="http://schemas.openxmlformats.org/officeDocument/2006/custom-properties" xmlns:vt="http://schemas.openxmlformats.org/officeDocument/2006/docPropsVTypes"/>
</file>