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객체 인식 기술을 이용하여 빠르고 정확한 객체 인식을 제공하는 시스템 개발</w:t>
        <w:br/>
        <w:br/>
        <w:t>2. 기술 선택: 머신 러닝, 딥 러닝, 컴퓨터 비전, 데이터 마이닝 등</w:t>
        <w:br/>
        <w:br/>
        <w:t>3. 사업 목표: 머신 러닝, 딥 러닝 등의 기술을 이용하여 빠르고 정확한 객체 인식 시스템을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 머신 러닝, 딥 러닝, 컴퓨터 비전, 데이터 마이닝 등의 기술을 이용하여 객체 인식 시스템을 개발합니다.</w:t>
        <w:br/>
        <w:br/>
        <w:t>7. 데이터 수집: 객체 인식을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객체 인식 모델을 생성합니다.</w:t>
        <w:br/>
        <w:br/>
        <w:t>10. 시스템 구축: 객체 인식 시스템을 구축합니다.</w:t>
        <w:br/>
        <w:br/>
        <w:t>11. 시스템 테스트: 시스템을 테스트하여 정확도를 확인합니다.</w:t>
        <w:br/>
        <w:br/>
        <w:t>12. 인수 검증: 테스트 결과를 검토하여 시스템의 정확성을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