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120" w:after="0"/>
        <w:jc w:val="left"/>
      </w:pPr>
      <w:r>
        <w:rPr>
          <w:rFonts w:ascii="Times New Roman" w:hAnsi="Times New Roman" w:cs="Times New Roman" w:eastAsia="바탕"/>
          <w:b/>
          <w:i w:val="0"/>
          <w:sz w:val="24"/>
        </w:rPr>
        <w:t>3. Results</w:t>
      </w:r>
    </w:p>
    <w:p>
      <w:pPr>
        <w:keepNext/>
        <w:spacing w:line="480" w:lineRule="auto" w:before="120" w:after="0"/>
        <w:jc w:val="left"/>
      </w:pPr>
      <w:r>
        <w:rPr>
          <w:rFonts w:ascii="Times New Roman" w:hAnsi="Times New Roman" w:cs="Times New Roman" w:eastAsia="바탕"/>
          <w:b/>
          <w:i/>
          <w:sz w:val="22"/>
        </w:rPr>
        <w:t>3.1. Participant characteristics</w:t>
      </w:r>
    </w:p>
    <w:p>
      <w:pPr>
        <w:keepNext w:val="0"/>
        <w:spacing w:line="480" w:lineRule="auto" w:before="0" w:after="120"/>
        <w:ind w:firstLine="397"/>
        <w:jc w:val="both"/>
      </w:pPr>
      <w:r>
        <w:rPr>
          <w:rFonts w:ascii="Times New Roman" w:hAnsi="Times New Roman" w:cs="Times New Roman" w:eastAsia="바탕"/>
          <w:b w:val="0"/>
          <w:i w:val="0"/>
          <w:sz w:val="22"/>
        </w:rPr>
        <w:t>Of the 160 patients with chronic low back pain who completed the baseline survey in the parent study, the data of two participants who selected the same response option for every item across all instruments were treated as missing; thus, data from 158 participants were included in the final analysis. Participant characteristics are presented in Table 1. The mean age was 38.17 years (</w:t>
      </w:r>
      <w:r>
        <w:rPr>
          <w:rFonts w:ascii="Times New Roman" w:hAnsi="Times New Roman" w:cs="Times New Roman" w:eastAsia="바탕"/>
          <w:b w:val="0"/>
          <w:i/>
          <w:sz w:val="22"/>
        </w:rPr>
        <w:t>SD</w:t>
      </w:r>
      <w:r>
        <w:rPr>
          <w:rFonts w:ascii="Times New Roman" w:hAnsi="Times New Roman" w:cs="Times New Roman" w:eastAsia="바탕"/>
          <w:b w:val="0"/>
          <w:i w:val="0"/>
          <w:sz w:val="22"/>
        </w:rPr>
        <w:t xml:space="preserve"> = 10.81), and 129 participants (81.6%) were women. The most common educational level was a bachelor's degree (</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 81, 51.3%), and 89 participants (56.3%) were employed. The most common pain duration was 5 years or longer (</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 64, 40.5%), and 52 participants (32.9%) reported having back pain every day or nearly every day over the past 6 months. The mean pain intensity over the past week was 4.51 (</w:t>
      </w:r>
      <w:r>
        <w:rPr>
          <w:rFonts w:ascii="Times New Roman" w:hAnsi="Times New Roman" w:cs="Times New Roman" w:eastAsia="바탕"/>
          <w:b w:val="0"/>
          <w:i/>
          <w:sz w:val="22"/>
        </w:rPr>
        <w:t>SD</w:t>
      </w:r>
      <w:r>
        <w:rPr>
          <w:rFonts w:ascii="Times New Roman" w:hAnsi="Times New Roman" w:cs="Times New Roman" w:eastAsia="바탕"/>
          <w:b w:val="0"/>
          <w:i w:val="0"/>
          <w:sz w:val="22"/>
        </w:rPr>
        <w:t xml:space="preserve"> = 1.58), and 101 participants (63.9%) reported moderate pain (4–6).</w:t>
      </w:r>
    </w:p>
    <w:p>
      <w:pPr>
        <w:keepNext/>
        <w:spacing w:line="480" w:lineRule="auto" w:before="120" w:after="0"/>
        <w:jc w:val="left"/>
      </w:pPr>
      <w:r>
        <w:rPr>
          <w:rFonts w:ascii="Times New Roman" w:hAnsi="Times New Roman" w:cs="Times New Roman" w:eastAsia="바탕"/>
          <w:b/>
          <w:i/>
          <w:sz w:val="22"/>
        </w:rPr>
        <w:t>3.2. Descriptive statistics and correlations among the main variables</w:t>
      </w:r>
    </w:p>
    <w:p>
      <w:pPr>
        <w:keepNext w:val="0"/>
        <w:spacing w:line="480" w:lineRule="auto" w:before="0" w:after="120"/>
        <w:ind w:firstLine="397"/>
        <w:jc w:val="both"/>
      </w:pPr>
      <w:r>
        <w:rPr>
          <w:rFonts w:ascii="Times New Roman" w:hAnsi="Times New Roman" w:cs="Times New Roman" w:eastAsia="바탕"/>
          <w:b w:val="0"/>
          <w:i w:val="0"/>
          <w:sz w:val="22"/>
        </w:rPr>
        <w:t>Descriptive statistics and correlations among the main variables are presented in Table 2. The mean communicative health literacy score was 80.27 (</w:t>
      </w:r>
      <w:r>
        <w:rPr>
          <w:rFonts w:ascii="Times New Roman" w:hAnsi="Times New Roman" w:cs="Times New Roman" w:eastAsia="바탕"/>
          <w:b w:val="0"/>
          <w:i/>
          <w:sz w:val="22"/>
        </w:rPr>
        <w:t>SD</w:t>
      </w:r>
      <w:r>
        <w:rPr>
          <w:rFonts w:ascii="Times New Roman" w:hAnsi="Times New Roman" w:cs="Times New Roman" w:eastAsia="바탕"/>
          <w:b w:val="0"/>
          <w:i w:val="0"/>
          <w:sz w:val="22"/>
        </w:rPr>
        <w:t xml:space="preserve"> = 30.32), and 59.5% of the participants obtained the maximum score of 100. The mean scores for pain concept knowledge and physical activity self-regulation were 33.13 (</w:t>
      </w:r>
      <w:r>
        <w:rPr>
          <w:rFonts w:ascii="Times New Roman" w:hAnsi="Times New Roman" w:cs="Times New Roman" w:eastAsia="바탕"/>
          <w:b w:val="0"/>
          <w:i/>
          <w:sz w:val="22"/>
        </w:rPr>
        <w:t>SD</w:t>
      </w:r>
      <w:r>
        <w:rPr>
          <w:rFonts w:ascii="Times New Roman" w:hAnsi="Times New Roman" w:cs="Times New Roman" w:eastAsia="바탕"/>
          <w:b w:val="0"/>
          <w:i w:val="0"/>
          <w:sz w:val="22"/>
        </w:rPr>
        <w:t xml:space="preserve"> = 4.79) and 35.22 (</w:t>
      </w:r>
      <w:r>
        <w:rPr>
          <w:rFonts w:ascii="Times New Roman" w:hAnsi="Times New Roman" w:cs="Times New Roman" w:eastAsia="바탕"/>
          <w:b w:val="0"/>
          <w:i/>
          <w:sz w:val="22"/>
        </w:rPr>
        <w:t>SD</w:t>
      </w:r>
      <w:r>
        <w:rPr>
          <w:rFonts w:ascii="Times New Roman" w:hAnsi="Times New Roman" w:cs="Times New Roman" w:eastAsia="바탕"/>
          <w:b w:val="0"/>
          <w:i w:val="0"/>
          <w:sz w:val="22"/>
        </w:rPr>
        <w:t xml:space="preserve"> = 8.88), respectively. Skewness ranged from −1.47 to −0.15 and kurtosis from 0.17 to 1.74, satisfying the criteria for normality. Communicative health literacy was significantly and positively correlated with physical activity self-regulation (</w:t>
      </w:r>
      <w:r>
        <w:rPr>
          <w:rFonts w:ascii="Times New Roman" w:hAnsi="Times New Roman" w:cs="Times New Roman" w:eastAsia="바탕"/>
          <w:b w:val="0"/>
          <w:i/>
          <w:sz w:val="22"/>
        </w:rPr>
        <w:t>r</w:t>
      </w:r>
      <w:r>
        <w:rPr>
          <w:rFonts w:ascii="Times New Roman" w:hAnsi="Times New Roman" w:cs="Times New Roman" w:eastAsia="바탕"/>
          <w:b w:val="0"/>
          <w:i w:val="0"/>
          <w:sz w:val="22"/>
        </w:rPr>
        <w:t xml:space="preserve"> = .27, </w:t>
      </w:r>
      <w:r>
        <w:rPr>
          <w:rFonts w:ascii="Times New Roman" w:hAnsi="Times New Roman" w:cs="Times New Roman" w:eastAsia="바탕"/>
          <w:b w:val="0"/>
          <w:i/>
          <w:sz w:val="22"/>
        </w:rPr>
        <w:t>p</w:t>
      </w:r>
      <w:r>
        <w:rPr>
          <w:rFonts w:ascii="Times New Roman" w:hAnsi="Times New Roman" w:cs="Times New Roman" w:eastAsia="바탕"/>
          <w:b w:val="0"/>
          <w:i w:val="0"/>
          <w:sz w:val="22"/>
        </w:rPr>
        <w:t xml:space="preserve"> &lt; .001) but not with pain concept knowledge (</w:t>
      </w:r>
      <w:r>
        <w:rPr>
          <w:rFonts w:ascii="Times New Roman" w:hAnsi="Times New Roman" w:cs="Times New Roman" w:eastAsia="바탕"/>
          <w:b w:val="0"/>
          <w:i/>
          <w:sz w:val="22"/>
        </w:rPr>
        <w:t>r</w:t>
      </w:r>
      <w:r>
        <w:rPr>
          <w:rFonts w:ascii="Times New Roman" w:hAnsi="Times New Roman" w:cs="Times New Roman" w:eastAsia="바탕"/>
          <w:b w:val="0"/>
          <w:i w:val="0"/>
          <w:sz w:val="22"/>
        </w:rPr>
        <w:t xml:space="preserve"> = .15, </w:t>
      </w:r>
      <w:r>
        <w:rPr>
          <w:rFonts w:ascii="Times New Roman" w:hAnsi="Times New Roman" w:cs="Times New Roman" w:eastAsia="바탕"/>
          <w:b w:val="0"/>
          <w:i/>
          <w:sz w:val="22"/>
        </w:rPr>
        <w:t>p</w:t>
      </w:r>
      <w:r>
        <w:rPr>
          <w:rFonts w:ascii="Times New Roman" w:hAnsi="Times New Roman" w:cs="Times New Roman" w:eastAsia="바탕"/>
          <w:b w:val="0"/>
          <w:i w:val="0"/>
          <w:sz w:val="22"/>
        </w:rPr>
        <w:t xml:space="preserve"> = .067). Pain concept knowledge was significantly and positively correlated with physical activity self-regulation (</w:t>
      </w:r>
      <w:r>
        <w:rPr>
          <w:rFonts w:ascii="Times New Roman" w:hAnsi="Times New Roman" w:cs="Times New Roman" w:eastAsia="바탕"/>
          <w:b w:val="0"/>
          <w:i/>
          <w:sz w:val="22"/>
        </w:rPr>
        <w:t>r</w:t>
      </w:r>
      <w:r>
        <w:rPr>
          <w:rFonts w:ascii="Times New Roman" w:hAnsi="Times New Roman" w:cs="Times New Roman" w:eastAsia="바탕"/>
          <w:b w:val="0"/>
          <w:i w:val="0"/>
          <w:sz w:val="22"/>
        </w:rPr>
        <w:t xml:space="preserve"> = .27, </w:t>
      </w:r>
      <w:r>
        <w:rPr>
          <w:rFonts w:ascii="Times New Roman" w:hAnsi="Times New Roman" w:cs="Times New Roman" w:eastAsia="바탕"/>
          <w:b w:val="0"/>
          <w:i/>
          <w:sz w:val="22"/>
        </w:rPr>
        <w:t>p</w:t>
      </w:r>
      <w:r>
        <w:rPr>
          <w:rFonts w:ascii="Times New Roman" w:hAnsi="Times New Roman" w:cs="Times New Roman" w:eastAsia="바탕"/>
          <w:b w:val="0"/>
          <w:i w:val="0"/>
          <w:sz w:val="22"/>
        </w:rPr>
        <w:t xml:space="preserve"> &lt; .001).</w:t>
      </w:r>
    </w:p>
    <w:p>
      <w:pPr>
        <w:keepNext/>
        <w:spacing w:line="480" w:lineRule="auto" w:before="120" w:after="0"/>
        <w:jc w:val="left"/>
      </w:pPr>
      <w:r>
        <w:rPr>
          <w:rFonts w:ascii="Times New Roman" w:hAnsi="Times New Roman" w:cs="Times New Roman" w:eastAsia="바탕"/>
          <w:b/>
          <w:i/>
          <w:sz w:val="22"/>
        </w:rPr>
        <w:t>3.3. Mediating effect of pain concept knowledge</w:t>
      </w:r>
    </w:p>
    <w:p>
      <w:pPr>
        <w:keepNext w:val="0"/>
        <w:spacing w:line="480" w:lineRule="auto" w:before="0" w:after="120"/>
        <w:ind w:firstLine="397"/>
        <w:jc w:val="both"/>
      </w:pPr>
      <w:r>
        <w:rPr>
          <w:rFonts w:ascii="Times New Roman" w:hAnsi="Times New Roman" w:cs="Times New Roman" w:eastAsia="바탕"/>
          <w:b w:val="0"/>
          <w:i w:val="0"/>
          <w:sz w:val="22"/>
        </w:rPr>
        <w:t>The results of the mediation analysis are presented in Table 3 and Figure 2. Communicative health literacy had a significant positive total effect on physical activity self-regulation (</w:t>
      </w:r>
      <w:r>
        <w:rPr>
          <w:rFonts w:ascii="Times New Roman" w:hAnsi="Times New Roman" w:cs="Times New Roman" w:eastAsia="바탕"/>
          <w:b w:val="0"/>
          <w:i/>
          <w:sz w:val="22"/>
        </w:rPr>
        <w:t>B</w:t>
      </w:r>
      <w:r>
        <w:rPr>
          <w:rFonts w:ascii="Times New Roman" w:hAnsi="Times New Roman" w:cs="Times New Roman" w:eastAsia="바탕"/>
          <w:b w:val="0"/>
          <w:i w:val="0"/>
          <w:sz w:val="22"/>
        </w:rPr>
        <w:t xml:space="preserve"> = 0.078, </w:t>
      </w:r>
      <w:r>
        <w:rPr>
          <w:rFonts w:ascii="Times New Roman" w:hAnsi="Times New Roman" w:cs="Times New Roman" w:eastAsia="바탕"/>
          <w:b w:val="0"/>
          <w:i/>
          <w:sz w:val="22"/>
        </w:rPr>
        <w:t>SE</w:t>
      </w:r>
      <w:r>
        <w:rPr>
          <w:rFonts w:ascii="Times New Roman" w:hAnsi="Times New Roman" w:cs="Times New Roman" w:eastAsia="바탕"/>
          <w:b w:val="0"/>
          <w:i w:val="0"/>
          <w:sz w:val="22"/>
        </w:rPr>
        <w:t xml:space="preserve"> = 0.023, </w:t>
      </w:r>
      <w:r>
        <w:rPr>
          <w:rFonts w:ascii="Times New Roman" w:hAnsi="Times New Roman" w:cs="Times New Roman" w:eastAsia="바탕"/>
          <w:b w:val="0"/>
          <w:i/>
          <w:sz w:val="22"/>
        </w:rPr>
        <w:t>p</w:t>
      </w:r>
      <w:r>
        <w:rPr>
          <w:rFonts w:ascii="Times New Roman" w:hAnsi="Times New Roman" w:cs="Times New Roman" w:eastAsia="바탕"/>
          <w:b w:val="0"/>
          <w:i w:val="0"/>
          <w:sz w:val="22"/>
        </w:rPr>
        <w:t xml:space="preserve"> &lt; .001, 95% CI [0.033, 0.123]). The association between communicative health literacy and pain concept knowledge (path </w:t>
      </w:r>
      <w:r>
        <w:rPr>
          <w:rFonts w:ascii="Times New Roman" w:hAnsi="Times New Roman" w:cs="Times New Roman" w:eastAsia="바탕"/>
          <w:b w:val="0"/>
          <w:i/>
          <w:sz w:val="22"/>
        </w:rPr>
        <w:t>a</w:t>
      </w:r>
      <w:r>
        <w:rPr>
          <w:rFonts w:ascii="Times New Roman" w:hAnsi="Times New Roman" w:cs="Times New Roman" w:eastAsia="바탕"/>
          <w:b w:val="0"/>
          <w:i w:val="0"/>
          <w:sz w:val="22"/>
        </w:rPr>
        <w:t>) was not statistically significant (</w:t>
      </w:r>
      <w:r>
        <w:rPr>
          <w:rFonts w:ascii="Times New Roman" w:hAnsi="Times New Roman" w:cs="Times New Roman" w:eastAsia="바탕"/>
          <w:b w:val="0"/>
          <w:i/>
          <w:sz w:val="22"/>
        </w:rPr>
        <w:t>B</w:t>
      </w:r>
      <w:r>
        <w:rPr>
          <w:rFonts w:ascii="Times New Roman" w:hAnsi="Times New Roman" w:cs="Times New Roman" w:eastAsia="바탕"/>
          <w:b w:val="0"/>
          <w:i w:val="0"/>
          <w:sz w:val="22"/>
        </w:rPr>
        <w:t xml:space="preserve"> = 0.023, </w:t>
      </w:r>
      <w:r>
        <w:rPr>
          <w:rFonts w:ascii="Times New Roman" w:hAnsi="Times New Roman" w:cs="Times New Roman" w:eastAsia="바탕"/>
          <w:b w:val="0"/>
          <w:i/>
          <w:sz w:val="22"/>
        </w:rPr>
        <w:t>p</w:t>
      </w:r>
      <w:r>
        <w:rPr>
          <w:rFonts w:ascii="Times New Roman" w:hAnsi="Times New Roman" w:cs="Times New Roman" w:eastAsia="바탕"/>
          <w:b w:val="0"/>
          <w:i w:val="0"/>
          <w:sz w:val="22"/>
        </w:rPr>
        <w:t xml:space="preserve"> = .067), whereas pain concept knowledge was significantly and positively associated with physical activity self-regulation (path </w:t>
      </w:r>
      <w:r>
        <w:rPr>
          <w:rFonts w:ascii="Times New Roman" w:hAnsi="Times New Roman" w:cs="Times New Roman" w:eastAsia="바탕"/>
          <w:b w:val="0"/>
          <w:i/>
          <w:sz w:val="22"/>
        </w:rPr>
        <w:t>b</w:t>
      </w:r>
      <w:r>
        <w:rPr>
          <w:rFonts w:ascii="Times New Roman" w:hAnsi="Times New Roman" w:cs="Times New Roman" w:eastAsia="바탕"/>
          <w:b w:val="0"/>
          <w:i w:val="0"/>
          <w:sz w:val="22"/>
        </w:rPr>
        <w:t xml:space="preserve">; </w:t>
      </w:r>
      <w:r>
        <w:rPr>
          <w:rFonts w:ascii="Times New Roman" w:hAnsi="Times New Roman" w:cs="Times New Roman" w:eastAsia="바탕"/>
          <w:b w:val="0"/>
          <w:i/>
          <w:sz w:val="22"/>
        </w:rPr>
        <w:t>B</w:t>
      </w:r>
      <w:r>
        <w:rPr>
          <w:rFonts w:ascii="Times New Roman" w:hAnsi="Times New Roman" w:cs="Times New Roman" w:eastAsia="바탕"/>
          <w:b w:val="0"/>
          <w:i w:val="0"/>
          <w:sz w:val="22"/>
        </w:rPr>
        <w:t xml:space="preserve"> = 0.435, </w:t>
      </w:r>
      <w:r>
        <w:rPr>
          <w:rFonts w:ascii="Times New Roman" w:hAnsi="Times New Roman" w:cs="Times New Roman" w:eastAsia="바탕"/>
          <w:b w:val="0"/>
          <w:i/>
          <w:sz w:val="22"/>
        </w:rPr>
        <w:t>p</w:t>
      </w:r>
      <w:r>
        <w:rPr>
          <w:rFonts w:ascii="Times New Roman" w:hAnsi="Times New Roman" w:cs="Times New Roman" w:eastAsia="바탕"/>
          <w:b w:val="0"/>
          <w:i w:val="0"/>
          <w:sz w:val="22"/>
        </w:rPr>
        <w:t xml:space="preserve"> = .002). After controlling for pain concept knowledge, the direct effect of communicative health literacy remained significant (</w:t>
      </w:r>
      <w:r>
        <w:rPr>
          <w:rFonts w:ascii="Times New Roman" w:hAnsi="Times New Roman" w:cs="Times New Roman" w:eastAsia="바탕"/>
          <w:b w:val="0"/>
          <w:i/>
          <w:sz w:val="22"/>
        </w:rPr>
        <w:t>B</w:t>
      </w:r>
      <w:r>
        <w:rPr>
          <w:rFonts w:ascii="Times New Roman" w:hAnsi="Times New Roman" w:cs="Times New Roman" w:eastAsia="바탕"/>
          <w:b w:val="0"/>
          <w:i w:val="0"/>
          <w:sz w:val="22"/>
        </w:rPr>
        <w:t xml:space="preserve"> = 0.068, </w:t>
      </w:r>
      <w:r>
        <w:rPr>
          <w:rFonts w:ascii="Times New Roman" w:hAnsi="Times New Roman" w:cs="Times New Roman" w:eastAsia="바탕"/>
          <w:b w:val="0"/>
          <w:i/>
          <w:sz w:val="22"/>
        </w:rPr>
        <w:t>p</w:t>
      </w:r>
      <w:r>
        <w:rPr>
          <w:rFonts w:ascii="Times New Roman" w:hAnsi="Times New Roman" w:cs="Times New Roman" w:eastAsia="바탕"/>
          <w:b w:val="0"/>
          <w:i w:val="0"/>
          <w:sz w:val="22"/>
        </w:rPr>
        <w:t xml:space="preserve"> = .003). Bootstrapping with 5,000 resamples showed a significant indirect effect through pain concept knowledge (</w:t>
      </w:r>
      <w:r>
        <w:rPr>
          <w:rFonts w:ascii="Times New Roman" w:hAnsi="Times New Roman" w:cs="Times New Roman" w:eastAsia="바탕"/>
          <w:b w:val="0"/>
          <w:i/>
          <w:sz w:val="22"/>
        </w:rPr>
        <w:t>B</w:t>
      </w:r>
      <w:r>
        <w:rPr>
          <w:rFonts w:ascii="Times New Roman" w:hAnsi="Times New Roman" w:cs="Times New Roman" w:eastAsia="바탕"/>
          <w:b w:val="0"/>
          <w:i w:val="0"/>
          <w:sz w:val="22"/>
        </w:rPr>
        <w:t xml:space="preserve"> = 0.010, 95% CI [0.0005, 0.024]), indicating partial mediation; the indirect effect accounted for approximately 13% of the total effect. In the model adjusted for sex, age, and pain frequency over the past 6 months, the total effect (</w:t>
      </w:r>
      <w:r>
        <w:rPr>
          <w:rFonts w:ascii="Times New Roman" w:hAnsi="Times New Roman" w:cs="Times New Roman" w:eastAsia="바탕"/>
          <w:b w:val="0"/>
          <w:i/>
          <w:sz w:val="22"/>
        </w:rPr>
        <w:t>B</w:t>
      </w:r>
      <w:r>
        <w:rPr>
          <w:rFonts w:ascii="Times New Roman" w:hAnsi="Times New Roman" w:cs="Times New Roman" w:eastAsia="바탕"/>
          <w:b w:val="0"/>
          <w:i w:val="0"/>
          <w:sz w:val="22"/>
        </w:rPr>
        <w:t xml:space="preserve"> = 0.076, </w:t>
      </w:r>
      <w:r>
        <w:rPr>
          <w:rFonts w:ascii="Times New Roman" w:hAnsi="Times New Roman" w:cs="Times New Roman" w:eastAsia="바탕"/>
          <w:b w:val="0"/>
          <w:i/>
          <w:sz w:val="22"/>
        </w:rPr>
        <w:t>p</w:t>
      </w:r>
      <w:r>
        <w:rPr>
          <w:rFonts w:ascii="Times New Roman" w:hAnsi="Times New Roman" w:cs="Times New Roman" w:eastAsia="바탕"/>
          <w:b w:val="0"/>
          <w:i w:val="0"/>
          <w:sz w:val="22"/>
        </w:rPr>
        <w:t xml:space="preserve"> = .001), path </w:t>
      </w:r>
      <w:r>
        <w:rPr>
          <w:rFonts w:ascii="Times New Roman" w:hAnsi="Times New Roman" w:cs="Times New Roman" w:eastAsia="바탕"/>
          <w:b w:val="0"/>
          <w:i/>
          <w:sz w:val="22"/>
        </w:rPr>
        <w:t>b</w:t>
      </w:r>
      <w:r>
        <w:rPr>
          <w:rFonts w:ascii="Times New Roman" w:hAnsi="Times New Roman" w:cs="Times New Roman" w:eastAsia="바탕"/>
          <w:b w:val="0"/>
          <w:i w:val="0"/>
          <w:sz w:val="22"/>
        </w:rPr>
        <w:t xml:space="preserve"> (</w:t>
      </w:r>
      <w:r>
        <w:rPr>
          <w:rFonts w:ascii="Times New Roman" w:hAnsi="Times New Roman" w:cs="Times New Roman" w:eastAsia="바탕"/>
          <w:b w:val="0"/>
          <w:i/>
          <w:sz w:val="22"/>
        </w:rPr>
        <w:t>B</w:t>
      </w:r>
      <w:r>
        <w:rPr>
          <w:rFonts w:ascii="Times New Roman" w:hAnsi="Times New Roman" w:cs="Times New Roman" w:eastAsia="바탕"/>
          <w:b w:val="0"/>
          <w:i w:val="0"/>
          <w:sz w:val="22"/>
        </w:rPr>
        <w:t xml:space="preserve"> = 0.423, </w:t>
      </w:r>
      <w:r>
        <w:rPr>
          <w:rFonts w:ascii="Times New Roman" w:hAnsi="Times New Roman" w:cs="Times New Roman" w:eastAsia="바탕"/>
          <w:b w:val="0"/>
          <w:i/>
          <w:sz w:val="22"/>
        </w:rPr>
        <w:t>p</w:t>
      </w:r>
      <w:r>
        <w:rPr>
          <w:rFonts w:ascii="Times New Roman" w:hAnsi="Times New Roman" w:cs="Times New Roman" w:eastAsia="바탕"/>
          <w:b w:val="0"/>
          <w:i w:val="0"/>
          <w:sz w:val="22"/>
        </w:rPr>
        <w:t xml:space="preserve"> = .004), and the direct effect (</w:t>
      </w:r>
      <w:r>
        <w:rPr>
          <w:rFonts w:ascii="Times New Roman" w:hAnsi="Times New Roman" w:cs="Times New Roman" w:eastAsia="바탕"/>
          <w:b w:val="0"/>
          <w:i/>
          <w:sz w:val="22"/>
        </w:rPr>
        <w:t>B</w:t>
      </w:r>
      <w:r>
        <w:rPr>
          <w:rFonts w:ascii="Times New Roman" w:hAnsi="Times New Roman" w:cs="Times New Roman" w:eastAsia="바탕"/>
          <w:b w:val="0"/>
          <w:i w:val="0"/>
          <w:sz w:val="22"/>
        </w:rPr>
        <w:t xml:space="preserve"> = 0.069, </w:t>
      </w:r>
      <w:r>
        <w:rPr>
          <w:rFonts w:ascii="Times New Roman" w:hAnsi="Times New Roman" w:cs="Times New Roman" w:eastAsia="바탕"/>
          <w:b w:val="0"/>
          <w:i/>
          <w:sz w:val="22"/>
        </w:rPr>
        <w:t>p</w:t>
      </w:r>
      <w:r>
        <w:rPr>
          <w:rFonts w:ascii="Times New Roman" w:hAnsi="Times New Roman" w:cs="Times New Roman" w:eastAsia="바탕"/>
          <w:b w:val="0"/>
          <w:i w:val="0"/>
          <w:sz w:val="22"/>
        </w:rPr>
        <w:t xml:space="preserve"> = .003) remained significant, whereas path </w:t>
      </w:r>
      <w:r>
        <w:rPr>
          <w:rFonts w:ascii="Times New Roman" w:hAnsi="Times New Roman" w:cs="Times New Roman" w:eastAsia="바탕"/>
          <w:b w:val="0"/>
          <w:i/>
          <w:sz w:val="22"/>
        </w:rPr>
        <w:t>a</w:t>
      </w:r>
      <w:r>
        <w:rPr>
          <w:rFonts w:ascii="Times New Roman" w:hAnsi="Times New Roman" w:cs="Times New Roman" w:eastAsia="바탕"/>
          <w:b w:val="0"/>
          <w:i w:val="0"/>
          <w:sz w:val="22"/>
        </w:rPr>
        <w:t xml:space="preserve"> (</w:t>
      </w:r>
      <w:r>
        <w:rPr>
          <w:rFonts w:ascii="Times New Roman" w:hAnsi="Times New Roman" w:cs="Times New Roman" w:eastAsia="바탕"/>
          <w:b w:val="0"/>
          <w:i/>
          <w:sz w:val="22"/>
        </w:rPr>
        <w:t>B</w:t>
      </w:r>
      <w:r>
        <w:rPr>
          <w:rFonts w:ascii="Times New Roman" w:hAnsi="Times New Roman" w:cs="Times New Roman" w:eastAsia="바탕"/>
          <w:b w:val="0"/>
          <w:i w:val="0"/>
          <w:sz w:val="22"/>
        </w:rPr>
        <w:t xml:space="preserve"> = 0.018, </w:t>
      </w:r>
      <w:r>
        <w:rPr>
          <w:rFonts w:ascii="Times New Roman" w:hAnsi="Times New Roman" w:cs="Times New Roman" w:eastAsia="바탕"/>
          <w:b w:val="0"/>
          <w:i/>
          <w:sz w:val="22"/>
        </w:rPr>
        <w:t>p</w:t>
      </w:r>
      <w:r>
        <w:rPr>
          <w:rFonts w:ascii="Times New Roman" w:hAnsi="Times New Roman" w:cs="Times New Roman" w:eastAsia="바탕"/>
          <w:b w:val="0"/>
          <w:i w:val="0"/>
          <w:sz w:val="22"/>
        </w:rPr>
        <w:t xml:space="preserve"> = .155) and the indirect effect (</w:t>
      </w:r>
      <w:r>
        <w:rPr>
          <w:rFonts w:ascii="Times New Roman" w:hAnsi="Times New Roman" w:cs="Times New Roman" w:eastAsia="바탕"/>
          <w:b w:val="0"/>
          <w:i/>
          <w:sz w:val="22"/>
        </w:rPr>
        <w:t>B</w:t>
      </w:r>
      <w:r>
        <w:rPr>
          <w:rFonts w:ascii="Times New Roman" w:hAnsi="Times New Roman" w:cs="Times New Roman" w:eastAsia="바탕"/>
          <w:b w:val="0"/>
          <w:i w:val="0"/>
          <w:sz w:val="22"/>
        </w:rPr>
        <w:t xml:space="preserve"> = 0.008, 95% CI [−0.002, 0.021]) were not significant.</w:t>
      </w:r>
    </w:p>
    <w:p>
      <w:r>
        <w:br w:type="page"/>
      </w:r>
    </w:p>
    <w:p>
      <w:pPr>
        <w:keepNext/>
        <w:spacing w:line="240" w:lineRule="auto" w:before="0" w:after="80"/>
        <w:jc w:val="left"/>
      </w:pPr>
      <w:r>
        <w:rPr>
          <w:rFonts w:ascii="Times New Roman" w:hAnsi="Times New Roman" w:cs="Times New Roman" w:eastAsia="바탕"/>
          <w:b/>
          <w:i/>
          <w:sz w:val="22"/>
        </w:rPr>
        <w:t>Table 1.</w:t>
      </w:r>
      <w:r>
        <w:rPr>
          <w:rFonts w:ascii="Times New Roman" w:hAnsi="Times New Roman" w:cs="Times New Roman" w:eastAsia="바탕"/>
          <w:b w:val="0"/>
          <w:i w:val="0"/>
          <w:sz w:val="22"/>
        </w:rPr>
        <w:t xml:space="preserve"> Characteristics of the participants (</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 158)</w:t>
      </w:r>
    </w:p>
    <w:tbl>
      <w:tblPr>
        <w:tblW w:type="auto" w:w="0"/>
        <w:jc w:val="center"/>
        <w:tblLayout w:type="fixed"/>
        <w:tblLook w:firstColumn="1" w:firstRow="1" w:lastColumn="0" w:lastRow="0" w:noHBand="0" w:noVBand="1" w:val="04A0"/>
        <w:tblCellMar>
          <w:left w:w="57" w:type="dxa"/>
          <w:right w:w="57" w:type="dxa"/>
        </w:tblCellMar>
      </w:tblPr>
      <w:tblGrid>
        <w:gridCol w:w="3175"/>
        <w:gridCol w:w="3402"/>
        <w:gridCol w:w="1928"/>
      </w:tblGrid>
      <w:tr>
        <w:trPr>
          <w:cantSplit/>
        </w:trPr>
        <w:tc>
          <w:tcPr>
            <w:tcW w:type="dxa" w:w="3175"/>
            <w:tcBorders>
              <w:top w:val="single" w:sz="12" w:color="000000"/>
              <w:bottom w:val="single" w:sz="6" w:color="000000"/>
            </w:tcBorders>
          </w:tcPr>
          <w:p>
            <w:pPr>
              <w:keepNext/>
              <w:spacing w:before="20" w:after="20"/>
              <w:jc w:val="left"/>
            </w:pPr>
            <w:r>
              <w:rPr>
                <w:rFonts w:ascii="Times New Roman" w:hAnsi="Times New Roman" w:cs="Times New Roman" w:eastAsia="바탕"/>
                <w:b w:val="0"/>
                <w:i w:val="0"/>
                <w:sz w:val="20"/>
              </w:rPr>
              <w:t>Characteristic</w:t>
            </w:r>
          </w:p>
        </w:tc>
        <w:tc>
          <w:tcPr>
            <w:tcW w:type="dxa" w:w="3402"/>
            <w:tcBorders>
              <w:top w:val="single" w:sz="12" w:color="000000"/>
              <w:bottom w:val="single" w:sz="6" w:color="000000"/>
            </w:tcBorders>
          </w:tcPr>
          <w:p>
            <w:pPr>
              <w:keepNext/>
              <w:spacing w:before="20" w:after="20"/>
              <w:jc w:val="left"/>
            </w:pPr>
            <w:r>
              <w:rPr>
                <w:rFonts w:ascii="Times New Roman" w:hAnsi="Times New Roman" w:cs="Times New Roman" w:eastAsia="바탕"/>
                <w:b w:val="0"/>
                <w:i w:val="0"/>
                <w:sz w:val="20"/>
              </w:rPr>
              <w:t>Category</w:t>
            </w:r>
          </w:p>
        </w:tc>
        <w:tc>
          <w:tcPr>
            <w:tcW w:type="dxa" w:w="1928"/>
            <w:tcBorders>
              <w:top w:val="single" w:sz="12" w:color="000000"/>
              <w:bottom w:val="single" w:sz="6" w:color="000000"/>
            </w:tcBorders>
          </w:tcPr>
          <w:p>
            <w:pPr>
              <w:keepNext/>
              <w:spacing w:before="20" w:after="20"/>
              <w:jc w:val="center"/>
            </w:pPr>
            <w:r>
              <w:rPr>
                <w:rFonts w:ascii="Times New Roman" w:hAnsi="Times New Roman" w:cs="Times New Roman" w:eastAsia="바탕"/>
                <w:b w:val="0"/>
                <w:i/>
                <w:sz w:val="20"/>
              </w:rPr>
              <w:t>n</w:t>
            </w:r>
            <w:r>
              <w:rPr>
                <w:rFonts w:ascii="Times New Roman" w:hAnsi="Times New Roman" w:cs="Times New Roman" w:eastAsia="바탕"/>
                <w:b w:val="0"/>
                <w:i w:val="0"/>
                <w:sz w:val="20"/>
              </w:rPr>
              <w:t xml:space="preserve"> (%) or </w:t>
            </w:r>
            <w:r>
              <w:rPr>
                <w:rFonts w:ascii="Times New Roman" w:hAnsi="Times New Roman" w:cs="Times New Roman" w:eastAsia="바탕"/>
                <w:b w:val="0"/>
                <w:i/>
                <w:sz w:val="20"/>
              </w:rPr>
              <w:t>M</w:t>
            </w:r>
            <w:r>
              <w:rPr>
                <w:rFonts w:ascii="Times New Roman" w:hAnsi="Times New Roman" w:cs="Times New Roman" w:eastAsia="바탕"/>
                <w:b w:val="0"/>
                <w:i w:val="0"/>
                <w:sz w:val="20"/>
              </w:rPr>
              <w:t xml:space="preserve"> ± </w:t>
            </w:r>
            <w:r>
              <w:rPr>
                <w:rFonts w:ascii="Times New Roman" w:hAnsi="Times New Roman" w:cs="Times New Roman" w:eastAsia="바탕"/>
                <w:b w:val="0"/>
                <w:i/>
                <w:sz w:val="20"/>
              </w:rPr>
              <w:t>SD</w:t>
            </w:r>
          </w:p>
        </w:tc>
      </w:tr>
      <w:tr>
        <w:trPr>
          <w:cantSplit/>
        </w:trPr>
        <w:tc>
          <w:tcPr>
            <w:tcW w:type="dxa" w:w="3175"/>
          </w:tcPr>
          <w:p>
            <w:pPr>
              <w:keepNext/>
              <w:spacing w:before="20" w:after="20"/>
              <w:jc w:val="left"/>
            </w:pPr>
            <w:r>
              <w:rPr>
                <w:rFonts w:ascii="Times New Roman" w:hAnsi="Times New Roman" w:cs="Times New Roman" w:eastAsia="바탕"/>
                <w:b w:val="0"/>
                <w:i w:val="0"/>
                <w:sz w:val="20"/>
              </w:rPr>
              <w:t>Age (years)</w:t>
            </w:r>
          </w:p>
        </w:tc>
        <w:tc>
          <w:tcPr>
            <w:tcW w:type="dxa" w:w="3402"/>
          </w:tcPr>
          <w:p>
            <w:pPr>
              <w:keepNext/>
              <w:spacing w:before="20" w:after="20"/>
              <w:jc w:val="left"/>
            </w:pPr>
          </w:p>
        </w:tc>
        <w:tc>
          <w:tcPr>
            <w:tcW w:type="dxa" w:w="1928"/>
          </w:tcPr>
          <w:p>
            <w:pPr>
              <w:keepNext/>
              <w:spacing w:before="20" w:after="20"/>
              <w:jc w:val="center"/>
            </w:pPr>
            <w:r>
              <w:rPr>
                <w:rFonts w:ascii="Times New Roman" w:hAnsi="Times New Roman" w:cs="Times New Roman" w:eastAsia="바탕"/>
                <w:b w:val="0"/>
                <w:i w:val="0"/>
                <w:sz w:val="20"/>
              </w:rPr>
              <w:t>38.17 ± 10.81</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 29</w:t>
            </w:r>
          </w:p>
        </w:tc>
        <w:tc>
          <w:tcPr>
            <w:tcW w:type="dxa" w:w="1928"/>
          </w:tcPr>
          <w:p>
            <w:pPr>
              <w:keepNext/>
              <w:spacing w:before="20" w:after="20"/>
              <w:jc w:val="center"/>
            </w:pPr>
            <w:r>
              <w:rPr>
                <w:rFonts w:ascii="Times New Roman" w:hAnsi="Times New Roman" w:cs="Times New Roman" w:eastAsia="바탕"/>
                <w:b w:val="0"/>
                <w:i w:val="0"/>
                <w:sz w:val="20"/>
              </w:rPr>
              <w:t>38 (24.1)</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30–39</w:t>
            </w:r>
          </w:p>
        </w:tc>
        <w:tc>
          <w:tcPr>
            <w:tcW w:type="dxa" w:w="1928"/>
          </w:tcPr>
          <w:p>
            <w:pPr>
              <w:keepNext/>
              <w:spacing w:before="20" w:after="20"/>
              <w:jc w:val="center"/>
            </w:pPr>
            <w:r>
              <w:rPr>
                <w:rFonts w:ascii="Times New Roman" w:hAnsi="Times New Roman" w:cs="Times New Roman" w:eastAsia="바탕"/>
                <w:b w:val="0"/>
                <w:i w:val="0"/>
                <w:sz w:val="20"/>
              </w:rPr>
              <w:t>48 (30.4)</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40–49</w:t>
            </w:r>
          </w:p>
        </w:tc>
        <w:tc>
          <w:tcPr>
            <w:tcW w:type="dxa" w:w="1928"/>
          </w:tcPr>
          <w:p>
            <w:pPr>
              <w:keepNext/>
              <w:spacing w:before="20" w:after="20"/>
              <w:jc w:val="center"/>
            </w:pPr>
            <w:r>
              <w:rPr>
                <w:rFonts w:ascii="Times New Roman" w:hAnsi="Times New Roman" w:cs="Times New Roman" w:eastAsia="바탕"/>
                <w:b w:val="0"/>
                <w:i w:val="0"/>
                <w:sz w:val="20"/>
              </w:rPr>
              <w:t>47 (29.7)</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 50</w:t>
            </w:r>
          </w:p>
        </w:tc>
        <w:tc>
          <w:tcPr>
            <w:tcW w:type="dxa" w:w="1928"/>
          </w:tcPr>
          <w:p>
            <w:pPr>
              <w:keepNext/>
              <w:spacing w:before="20" w:after="20"/>
              <w:jc w:val="center"/>
            </w:pPr>
            <w:r>
              <w:rPr>
                <w:rFonts w:ascii="Times New Roman" w:hAnsi="Times New Roman" w:cs="Times New Roman" w:eastAsia="바탕"/>
                <w:b w:val="0"/>
                <w:i w:val="0"/>
                <w:sz w:val="20"/>
              </w:rPr>
              <w:t>25 (15.8)</w:t>
            </w:r>
          </w:p>
        </w:tc>
      </w:tr>
      <w:tr>
        <w:trPr>
          <w:cantSplit/>
        </w:trPr>
        <w:tc>
          <w:tcPr>
            <w:tcW w:type="dxa" w:w="3175"/>
          </w:tcPr>
          <w:p>
            <w:pPr>
              <w:keepNext/>
              <w:spacing w:before="20" w:after="20"/>
              <w:jc w:val="left"/>
            </w:pPr>
            <w:r>
              <w:rPr>
                <w:rFonts w:ascii="Times New Roman" w:hAnsi="Times New Roman" w:cs="Times New Roman" w:eastAsia="바탕"/>
                <w:b w:val="0"/>
                <w:i w:val="0"/>
                <w:sz w:val="20"/>
              </w:rPr>
              <w:t>Sex</w:t>
            </w:r>
          </w:p>
        </w:tc>
        <w:tc>
          <w:tcPr>
            <w:tcW w:type="dxa" w:w="3402"/>
          </w:tcPr>
          <w:p>
            <w:pPr>
              <w:keepNext/>
              <w:spacing w:before="20" w:after="20"/>
              <w:jc w:val="left"/>
            </w:pPr>
            <w:r>
              <w:rPr>
                <w:rFonts w:ascii="Times New Roman" w:hAnsi="Times New Roman" w:cs="Times New Roman" w:eastAsia="바탕"/>
                <w:b w:val="0"/>
                <w:i w:val="0"/>
                <w:sz w:val="20"/>
              </w:rPr>
              <w:t>Men</w:t>
            </w:r>
          </w:p>
        </w:tc>
        <w:tc>
          <w:tcPr>
            <w:tcW w:type="dxa" w:w="1928"/>
          </w:tcPr>
          <w:p>
            <w:pPr>
              <w:keepNext/>
              <w:spacing w:before="20" w:after="20"/>
              <w:jc w:val="center"/>
            </w:pPr>
            <w:r>
              <w:rPr>
                <w:rFonts w:ascii="Times New Roman" w:hAnsi="Times New Roman" w:cs="Times New Roman" w:eastAsia="바탕"/>
                <w:b w:val="0"/>
                <w:i w:val="0"/>
                <w:sz w:val="20"/>
              </w:rPr>
              <w:t>29 (18.4)</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Women</w:t>
            </w:r>
          </w:p>
        </w:tc>
        <w:tc>
          <w:tcPr>
            <w:tcW w:type="dxa" w:w="1928"/>
          </w:tcPr>
          <w:p>
            <w:pPr>
              <w:keepNext/>
              <w:spacing w:before="20" w:after="20"/>
              <w:jc w:val="center"/>
            </w:pPr>
            <w:r>
              <w:rPr>
                <w:rFonts w:ascii="Times New Roman" w:hAnsi="Times New Roman" w:cs="Times New Roman" w:eastAsia="바탕"/>
                <w:b w:val="0"/>
                <w:i w:val="0"/>
                <w:sz w:val="20"/>
              </w:rPr>
              <w:t>129 (81.6)</w:t>
            </w:r>
          </w:p>
        </w:tc>
      </w:tr>
      <w:tr>
        <w:trPr>
          <w:cantSplit/>
        </w:trPr>
        <w:tc>
          <w:tcPr>
            <w:tcW w:type="dxa" w:w="3175"/>
          </w:tcPr>
          <w:p>
            <w:pPr>
              <w:keepNext/>
              <w:spacing w:before="20" w:after="20"/>
              <w:jc w:val="left"/>
            </w:pPr>
            <w:r>
              <w:rPr>
                <w:rFonts w:ascii="Times New Roman" w:hAnsi="Times New Roman" w:cs="Times New Roman" w:eastAsia="바탕"/>
                <w:b w:val="0"/>
                <w:i w:val="0"/>
                <w:sz w:val="20"/>
              </w:rPr>
              <w:t>Education</w:t>
            </w:r>
          </w:p>
        </w:tc>
        <w:tc>
          <w:tcPr>
            <w:tcW w:type="dxa" w:w="3402"/>
          </w:tcPr>
          <w:p>
            <w:pPr>
              <w:keepNext/>
              <w:spacing w:before="20" w:after="20"/>
              <w:jc w:val="left"/>
            </w:pPr>
            <w:r>
              <w:rPr>
                <w:rFonts w:ascii="Times New Roman" w:hAnsi="Times New Roman" w:cs="Times New Roman" w:eastAsia="바탕"/>
                <w:b w:val="0"/>
                <w:i w:val="0"/>
                <w:sz w:val="20"/>
              </w:rPr>
              <w:t>High school or less</w:t>
            </w:r>
          </w:p>
        </w:tc>
        <w:tc>
          <w:tcPr>
            <w:tcW w:type="dxa" w:w="1928"/>
          </w:tcPr>
          <w:p>
            <w:pPr>
              <w:keepNext/>
              <w:spacing w:before="20" w:after="20"/>
              <w:jc w:val="center"/>
            </w:pPr>
            <w:r>
              <w:rPr>
                <w:rFonts w:ascii="Times New Roman" w:hAnsi="Times New Roman" w:cs="Times New Roman" w:eastAsia="바탕"/>
                <w:b w:val="0"/>
                <w:i w:val="0"/>
                <w:sz w:val="20"/>
              </w:rPr>
              <w:t>33 (20.9)</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Associate degree</w:t>
            </w:r>
          </w:p>
        </w:tc>
        <w:tc>
          <w:tcPr>
            <w:tcW w:type="dxa" w:w="1928"/>
          </w:tcPr>
          <w:p>
            <w:pPr>
              <w:keepNext/>
              <w:spacing w:before="20" w:after="20"/>
              <w:jc w:val="center"/>
            </w:pPr>
            <w:r>
              <w:rPr>
                <w:rFonts w:ascii="Times New Roman" w:hAnsi="Times New Roman" w:cs="Times New Roman" w:eastAsia="바탕"/>
                <w:b w:val="0"/>
                <w:i w:val="0"/>
                <w:sz w:val="20"/>
              </w:rPr>
              <w:t>20 (12.7)</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Bachelor's degree</w:t>
            </w:r>
          </w:p>
        </w:tc>
        <w:tc>
          <w:tcPr>
            <w:tcW w:type="dxa" w:w="1928"/>
          </w:tcPr>
          <w:p>
            <w:pPr>
              <w:keepNext/>
              <w:spacing w:before="20" w:after="20"/>
              <w:jc w:val="center"/>
            </w:pPr>
            <w:r>
              <w:rPr>
                <w:rFonts w:ascii="Times New Roman" w:hAnsi="Times New Roman" w:cs="Times New Roman" w:eastAsia="바탕"/>
                <w:b w:val="0"/>
                <w:i w:val="0"/>
                <w:sz w:val="20"/>
              </w:rPr>
              <w:t>81 (51.3)</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Master's degree or higher</w:t>
            </w:r>
          </w:p>
        </w:tc>
        <w:tc>
          <w:tcPr>
            <w:tcW w:type="dxa" w:w="1928"/>
          </w:tcPr>
          <w:p>
            <w:pPr>
              <w:keepNext/>
              <w:spacing w:before="20" w:after="20"/>
              <w:jc w:val="center"/>
            </w:pPr>
            <w:r>
              <w:rPr>
                <w:rFonts w:ascii="Times New Roman" w:hAnsi="Times New Roman" w:cs="Times New Roman" w:eastAsia="바탕"/>
                <w:b w:val="0"/>
                <w:i w:val="0"/>
                <w:sz w:val="20"/>
              </w:rPr>
              <w:t>24 (15.2)</w:t>
            </w:r>
          </w:p>
        </w:tc>
      </w:tr>
      <w:tr>
        <w:trPr>
          <w:cantSplit/>
        </w:trPr>
        <w:tc>
          <w:tcPr>
            <w:tcW w:type="dxa" w:w="3175"/>
          </w:tcPr>
          <w:p>
            <w:pPr>
              <w:keepNext/>
              <w:spacing w:before="20" w:after="20"/>
              <w:jc w:val="left"/>
            </w:pPr>
            <w:r>
              <w:rPr>
                <w:rFonts w:ascii="Times New Roman" w:hAnsi="Times New Roman" w:cs="Times New Roman" w:eastAsia="바탕"/>
                <w:b w:val="0"/>
                <w:i w:val="0"/>
                <w:sz w:val="20"/>
              </w:rPr>
              <w:t>Employment status</w:t>
            </w:r>
          </w:p>
        </w:tc>
        <w:tc>
          <w:tcPr>
            <w:tcW w:type="dxa" w:w="3402"/>
          </w:tcPr>
          <w:p>
            <w:pPr>
              <w:keepNext/>
              <w:spacing w:before="20" w:after="20"/>
              <w:jc w:val="left"/>
            </w:pPr>
            <w:r>
              <w:rPr>
                <w:rFonts w:ascii="Times New Roman" w:hAnsi="Times New Roman" w:cs="Times New Roman" w:eastAsia="바탕"/>
                <w:b w:val="0"/>
                <w:i w:val="0"/>
                <w:sz w:val="20"/>
              </w:rPr>
              <w:t>Employed</w:t>
            </w:r>
          </w:p>
        </w:tc>
        <w:tc>
          <w:tcPr>
            <w:tcW w:type="dxa" w:w="1928"/>
          </w:tcPr>
          <w:p>
            <w:pPr>
              <w:keepNext/>
              <w:spacing w:before="20" w:after="20"/>
              <w:jc w:val="center"/>
            </w:pPr>
            <w:r>
              <w:rPr>
                <w:rFonts w:ascii="Times New Roman" w:hAnsi="Times New Roman" w:cs="Times New Roman" w:eastAsia="바탕"/>
                <w:b w:val="0"/>
                <w:i w:val="0"/>
                <w:sz w:val="20"/>
              </w:rPr>
              <w:t>89 (56.3)</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Unemployed or seeking work</w:t>
            </w:r>
          </w:p>
        </w:tc>
        <w:tc>
          <w:tcPr>
            <w:tcW w:type="dxa" w:w="1928"/>
          </w:tcPr>
          <w:p>
            <w:pPr>
              <w:keepNext/>
              <w:spacing w:before="20" w:after="20"/>
              <w:jc w:val="center"/>
            </w:pPr>
            <w:r>
              <w:rPr>
                <w:rFonts w:ascii="Times New Roman" w:hAnsi="Times New Roman" w:cs="Times New Roman" w:eastAsia="바탕"/>
                <w:b w:val="0"/>
                <w:i w:val="0"/>
                <w:sz w:val="20"/>
              </w:rPr>
              <w:t>10 (6.3)</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Student</w:t>
            </w:r>
          </w:p>
        </w:tc>
        <w:tc>
          <w:tcPr>
            <w:tcW w:type="dxa" w:w="1928"/>
          </w:tcPr>
          <w:p>
            <w:pPr>
              <w:keepNext/>
              <w:spacing w:before="20" w:after="20"/>
              <w:jc w:val="center"/>
            </w:pPr>
            <w:r>
              <w:rPr>
                <w:rFonts w:ascii="Times New Roman" w:hAnsi="Times New Roman" w:cs="Times New Roman" w:eastAsia="바탕"/>
                <w:b w:val="0"/>
                <w:i w:val="0"/>
                <w:sz w:val="20"/>
              </w:rPr>
              <w:t>27 (17.1)</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Homemaker</w:t>
            </w:r>
          </w:p>
        </w:tc>
        <w:tc>
          <w:tcPr>
            <w:tcW w:type="dxa" w:w="1928"/>
          </w:tcPr>
          <w:p>
            <w:pPr>
              <w:keepNext/>
              <w:spacing w:before="20" w:after="20"/>
              <w:jc w:val="center"/>
            </w:pPr>
            <w:r>
              <w:rPr>
                <w:rFonts w:ascii="Times New Roman" w:hAnsi="Times New Roman" w:cs="Times New Roman" w:eastAsia="바탕"/>
                <w:b w:val="0"/>
                <w:i w:val="0"/>
                <w:sz w:val="20"/>
              </w:rPr>
              <w:t>25 (15.8)</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Other</w:t>
            </w:r>
            <w:r>
              <w:rPr>
                <w:rFonts w:ascii="Times New Roman" w:hAnsi="Times New Roman" w:cs="Times New Roman" w:eastAsia="바탕"/>
                <w:b w:val="0"/>
                <w:i w:val="0"/>
                <w:sz w:val="20"/>
                <w:vertAlign w:val="superscript"/>
              </w:rPr>
              <w:t>a</w:t>
            </w:r>
          </w:p>
        </w:tc>
        <w:tc>
          <w:tcPr>
            <w:tcW w:type="dxa" w:w="1928"/>
          </w:tcPr>
          <w:p>
            <w:pPr>
              <w:keepNext/>
              <w:spacing w:before="20" w:after="20"/>
              <w:jc w:val="center"/>
            </w:pPr>
            <w:r>
              <w:rPr>
                <w:rFonts w:ascii="Times New Roman" w:hAnsi="Times New Roman" w:cs="Times New Roman" w:eastAsia="바탕"/>
                <w:b w:val="0"/>
                <w:i w:val="0"/>
                <w:sz w:val="20"/>
              </w:rPr>
              <w:t>7 (4.4)</w:t>
            </w:r>
          </w:p>
        </w:tc>
      </w:tr>
      <w:tr>
        <w:trPr>
          <w:cantSplit/>
        </w:trPr>
        <w:tc>
          <w:tcPr>
            <w:tcW w:type="dxa" w:w="3175"/>
          </w:tcPr>
          <w:p>
            <w:pPr>
              <w:keepNext/>
              <w:spacing w:before="20" w:after="20"/>
              <w:jc w:val="left"/>
            </w:pPr>
            <w:r>
              <w:rPr>
                <w:rFonts w:ascii="Times New Roman" w:hAnsi="Times New Roman" w:cs="Times New Roman" w:eastAsia="바탕"/>
                <w:b w:val="0"/>
                <w:i w:val="0"/>
                <w:sz w:val="20"/>
              </w:rPr>
              <w:t>Pain duration</w:t>
            </w:r>
          </w:p>
        </w:tc>
        <w:tc>
          <w:tcPr>
            <w:tcW w:type="dxa" w:w="3402"/>
          </w:tcPr>
          <w:p>
            <w:pPr>
              <w:keepNext/>
              <w:spacing w:before="20" w:after="20"/>
              <w:jc w:val="left"/>
            </w:pPr>
            <w:r>
              <w:rPr>
                <w:rFonts w:ascii="Times New Roman" w:hAnsi="Times New Roman" w:cs="Times New Roman" w:eastAsia="바탕"/>
                <w:b w:val="0"/>
                <w:i w:val="0"/>
                <w:sz w:val="20"/>
              </w:rPr>
              <w:t>3 months to &lt; 1 year</w:t>
            </w:r>
          </w:p>
        </w:tc>
        <w:tc>
          <w:tcPr>
            <w:tcW w:type="dxa" w:w="1928"/>
          </w:tcPr>
          <w:p>
            <w:pPr>
              <w:keepNext/>
              <w:spacing w:before="20" w:after="20"/>
              <w:jc w:val="center"/>
            </w:pPr>
            <w:r>
              <w:rPr>
                <w:rFonts w:ascii="Times New Roman" w:hAnsi="Times New Roman" w:cs="Times New Roman" w:eastAsia="바탕"/>
                <w:b w:val="0"/>
                <w:i w:val="0"/>
                <w:sz w:val="20"/>
              </w:rPr>
              <w:t>30 (19.0)</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1 to &lt; 3 years</w:t>
            </w:r>
          </w:p>
        </w:tc>
        <w:tc>
          <w:tcPr>
            <w:tcW w:type="dxa" w:w="1928"/>
          </w:tcPr>
          <w:p>
            <w:pPr>
              <w:keepNext/>
              <w:spacing w:before="20" w:after="20"/>
              <w:jc w:val="center"/>
            </w:pPr>
            <w:r>
              <w:rPr>
                <w:rFonts w:ascii="Times New Roman" w:hAnsi="Times New Roman" w:cs="Times New Roman" w:eastAsia="바탕"/>
                <w:b w:val="0"/>
                <w:i w:val="0"/>
                <w:sz w:val="20"/>
              </w:rPr>
              <w:t>40 (25.3)</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3 to &lt; 5 years</w:t>
            </w:r>
          </w:p>
        </w:tc>
        <w:tc>
          <w:tcPr>
            <w:tcW w:type="dxa" w:w="1928"/>
          </w:tcPr>
          <w:p>
            <w:pPr>
              <w:keepNext/>
              <w:spacing w:before="20" w:after="20"/>
              <w:jc w:val="center"/>
            </w:pPr>
            <w:r>
              <w:rPr>
                <w:rFonts w:ascii="Times New Roman" w:hAnsi="Times New Roman" w:cs="Times New Roman" w:eastAsia="바탕"/>
                <w:b w:val="0"/>
                <w:i w:val="0"/>
                <w:sz w:val="20"/>
              </w:rPr>
              <w:t>24 (15.2)</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 5 years</w:t>
            </w:r>
          </w:p>
        </w:tc>
        <w:tc>
          <w:tcPr>
            <w:tcW w:type="dxa" w:w="1928"/>
          </w:tcPr>
          <w:p>
            <w:pPr>
              <w:keepNext/>
              <w:spacing w:before="20" w:after="20"/>
              <w:jc w:val="center"/>
            </w:pPr>
            <w:r>
              <w:rPr>
                <w:rFonts w:ascii="Times New Roman" w:hAnsi="Times New Roman" w:cs="Times New Roman" w:eastAsia="바탕"/>
                <w:b w:val="0"/>
                <w:i w:val="0"/>
                <w:sz w:val="20"/>
              </w:rPr>
              <w:t>64 (40.5)</w:t>
            </w:r>
          </w:p>
        </w:tc>
      </w:tr>
      <w:tr>
        <w:trPr>
          <w:cantSplit/>
        </w:trPr>
        <w:tc>
          <w:tcPr>
            <w:tcW w:type="dxa" w:w="3175"/>
          </w:tcPr>
          <w:p>
            <w:pPr>
              <w:keepNext/>
              <w:spacing w:before="20" w:after="20"/>
              <w:jc w:val="left"/>
            </w:pPr>
            <w:r>
              <w:rPr>
                <w:rFonts w:ascii="Times New Roman" w:hAnsi="Times New Roman" w:cs="Times New Roman" w:eastAsia="바탕"/>
                <w:b w:val="0"/>
                <w:i w:val="0"/>
                <w:sz w:val="20"/>
              </w:rPr>
              <w:t>Pain frequency over the past 6 months</w:t>
            </w:r>
          </w:p>
        </w:tc>
        <w:tc>
          <w:tcPr>
            <w:tcW w:type="dxa" w:w="3402"/>
          </w:tcPr>
          <w:p>
            <w:pPr>
              <w:keepNext/>
              <w:spacing w:before="20" w:after="20"/>
              <w:jc w:val="left"/>
            </w:pPr>
            <w:r>
              <w:rPr>
                <w:rFonts w:ascii="Times New Roman" w:hAnsi="Times New Roman" w:cs="Times New Roman" w:eastAsia="바탕"/>
                <w:b w:val="0"/>
                <w:i w:val="0"/>
                <w:sz w:val="20"/>
              </w:rPr>
              <w:t>Every day or nearly every day</w:t>
            </w:r>
          </w:p>
        </w:tc>
        <w:tc>
          <w:tcPr>
            <w:tcW w:type="dxa" w:w="1928"/>
          </w:tcPr>
          <w:p>
            <w:pPr>
              <w:keepNext/>
              <w:spacing w:before="20" w:after="20"/>
              <w:jc w:val="center"/>
            </w:pPr>
            <w:r>
              <w:rPr>
                <w:rFonts w:ascii="Times New Roman" w:hAnsi="Times New Roman" w:cs="Times New Roman" w:eastAsia="바탕"/>
                <w:b w:val="0"/>
                <w:i w:val="0"/>
                <w:sz w:val="20"/>
              </w:rPr>
              <w:t>52 (32.9)</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At least half the time (≥ 3 months)</w:t>
            </w:r>
          </w:p>
        </w:tc>
        <w:tc>
          <w:tcPr>
            <w:tcW w:type="dxa" w:w="1928"/>
          </w:tcPr>
          <w:p>
            <w:pPr>
              <w:keepNext/>
              <w:spacing w:before="20" w:after="20"/>
              <w:jc w:val="center"/>
            </w:pPr>
            <w:r>
              <w:rPr>
                <w:rFonts w:ascii="Times New Roman" w:hAnsi="Times New Roman" w:cs="Times New Roman" w:eastAsia="바탕"/>
                <w:b w:val="0"/>
                <w:i w:val="0"/>
                <w:sz w:val="20"/>
              </w:rPr>
              <w:t>56 (35.4)</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Less than half the time (&lt; 3 months)</w:t>
            </w:r>
          </w:p>
        </w:tc>
        <w:tc>
          <w:tcPr>
            <w:tcW w:type="dxa" w:w="1928"/>
          </w:tcPr>
          <w:p>
            <w:pPr>
              <w:keepNext/>
              <w:spacing w:before="20" w:after="20"/>
              <w:jc w:val="center"/>
            </w:pPr>
            <w:r>
              <w:rPr>
                <w:rFonts w:ascii="Times New Roman" w:hAnsi="Times New Roman" w:cs="Times New Roman" w:eastAsia="바탕"/>
                <w:b w:val="0"/>
                <w:i w:val="0"/>
                <w:sz w:val="20"/>
              </w:rPr>
              <w:t>50 (31.6)</w:t>
            </w:r>
          </w:p>
        </w:tc>
      </w:tr>
      <w:tr>
        <w:trPr>
          <w:cantSplit/>
        </w:trPr>
        <w:tc>
          <w:tcPr>
            <w:tcW w:type="dxa" w:w="3175"/>
          </w:tcPr>
          <w:p>
            <w:pPr>
              <w:keepNext/>
              <w:spacing w:before="20" w:after="20"/>
              <w:jc w:val="left"/>
            </w:pPr>
            <w:r>
              <w:rPr>
                <w:rFonts w:ascii="Times New Roman" w:hAnsi="Times New Roman" w:cs="Times New Roman" w:eastAsia="바탕"/>
                <w:b w:val="0"/>
                <w:i w:val="0"/>
                <w:sz w:val="20"/>
              </w:rPr>
              <w:t>Average pain intensity over the past week (0–10)</w:t>
            </w:r>
          </w:p>
        </w:tc>
        <w:tc>
          <w:tcPr>
            <w:tcW w:type="dxa" w:w="3402"/>
          </w:tcPr>
          <w:p>
            <w:pPr>
              <w:keepNext/>
              <w:spacing w:before="20" w:after="20"/>
              <w:jc w:val="left"/>
            </w:pPr>
          </w:p>
        </w:tc>
        <w:tc>
          <w:tcPr>
            <w:tcW w:type="dxa" w:w="1928"/>
          </w:tcPr>
          <w:p>
            <w:pPr>
              <w:keepNext/>
              <w:spacing w:before="20" w:after="20"/>
              <w:jc w:val="center"/>
            </w:pPr>
            <w:r>
              <w:rPr>
                <w:rFonts w:ascii="Times New Roman" w:hAnsi="Times New Roman" w:cs="Times New Roman" w:eastAsia="바탕"/>
                <w:b w:val="0"/>
                <w:i w:val="0"/>
                <w:sz w:val="20"/>
              </w:rPr>
              <w:t>4.51 ± 1.58</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0–3</w:t>
            </w:r>
            <w:r>
              <w:rPr>
                <w:rFonts w:ascii="Times New Roman" w:hAnsi="Times New Roman" w:cs="Times New Roman" w:eastAsia="바탕"/>
                <w:b w:val="0"/>
                <w:i w:val="0"/>
                <w:sz w:val="20"/>
                <w:vertAlign w:val="superscript"/>
              </w:rPr>
              <w:t>b</w:t>
            </w:r>
          </w:p>
        </w:tc>
        <w:tc>
          <w:tcPr>
            <w:tcW w:type="dxa" w:w="1928"/>
          </w:tcPr>
          <w:p>
            <w:pPr>
              <w:keepNext/>
              <w:spacing w:before="20" w:after="20"/>
              <w:jc w:val="center"/>
            </w:pPr>
            <w:r>
              <w:rPr>
                <w:rFonts w:ascii="Times New Roman" w:hAnsi="Times New Roman" w:cs="Times New Roman" w:eastAsia="바탕"/>
                <w:b w:val="0"/>
                <w:i w:val="0"/>
                <w:sz w:val="20"/>
              </w:rPr>
              <w:t>40 (25.3)</w:t>
            </w:r>
          </w:p>
        </w:tc>
      </w:tr>
      <w:tr>
        <w:trPr>
          <w:cantSplit/>
        </w:trPr>
        <w:tc>
          <w:tcPr>
            <w:tcW w:type="dxa" w:w="3175"/>
          </w:tcPr>
          <w:p>
            <w:pPr>
              <w:keepNext/>
              <w:spacing w:before="20" w:after="20"/>
              <w:jc w:val="left"/>
            </w:pPr>
          </w:p>
        </w:tc>
        <w:tc>
          <w:tcPr>
            <w:tcW w:type="dxa" w:w="3402"/>
          </w:tcPr>
          <w:p>
            <w:pPr>
              <w:keepNext/>
              <w:spacing w:before="20" w:after="20"/>
              <w:jc w:val="left"/>
            </w:pPr>
            <w:r>
              <w:rPr>
                <w:rFonts w:ascii="Times New Roman" w:hAnsi="Times New Roman" w:cs="Times New Roman" w:eastAsia="바탕"/>
                <w:b w:val="0"/>
                <w:i w:val="0"/>
                <w:sz w:val="20"/>
              </w:rPr>
              <w:t>4–6</w:t>
            </w:r>
          </w:p>
        </w:tc>
        <w:tc>
          <w:tcPr>
            <w:tcW w:type="dxa" w:w="1928"/>
          </w:tcPr>
          <w:p>
            <w:pPr>
              <w:keepNext/>
              <w:spacing w:before="20" w:after="20"/>
              <w:jc w:val="center"/>
            </w:pPr>
            <w:r>
              <w:rPr>
                <w:rFonts w:ascii="Times New Roman" w:hAnsi="Times New Roman" w:cs="Times New Roman" w:eastAsia="바탕"/>
                <w:b w:val="0"/>
                <w:i w:val="0"/>
                <w:sz w:val="20"/>
              </w:rPr>
              <w:t>101 (63.9)</w:t>
            </w:r>
          </w:p>
        </w:tc>
      </w:tr>
      <w:tr>
        <w:trPr>
          <w:cantSplit/>
        </w:trPr>
        <w:tc>
          <w:tcPr>
            <w:tcW w:type="dxa" w:w="3175"/>
            <w:tcBorders>
              <w:bottom w:val="single" w:sz="12" w:color="000000"/>
            </w:tcBorders>
          </w:tcPr>
          <w:p>
            <w:pPr>
              <w:keepNext/>
              <w:spacing w:before="20" w:after="20"/>
              <w:jc w:val="left"/>
            </w:pPr>
          </w:p>
        </w:tc>
        <w:tc>
          <w:tcPr>
            <w:tcW w:type="dxa" w:w="3402"/>
            <w:tcBorders>
              <w:bottom w:val="single" w:sz="12" w:color="000000"/>
            </w:tcBorders>
          </w:tcPr>
          <w:p>
            <w:pPr>
              <w:keepNext/>
              <w:spacing w:before="20" w:after="20"/>
              <w:jc w:val="left"/>
            </w:pPr>
            <w:r>
              <w:rPr>
                <w:rFonts w:ascii="Times New Roman" w:hAnsi="Times New Roman" w:cs="Times New Roman" w:eastAsia="바탕"/>
                <w:b w:val="0"/>
                <w:i w:val="0"/>
                <w:sz w:val="20"/>
              </w:rPr>
              <w:t>7–10</w:t>
            </w:r>
          </w:p>
        </w:tc>
        <w:tc>
          <w:tcPr>
            <w:tcW w:type="dxa" w:w="1928"/>
            <w:tcBorders>
              <w:bottom w:val="single" w:sz="12" w:color="000000"/>
            </w:tcBorders>
          </w:tcPr>
          <w:p>
            <w:pPr>
              <w:keepNext/>
              <w:spacing w:before="20" w:after="20"/>
              <w:jc w:val="center"/>
            </w:pPr>
            <w:r>
              <w:rPr>
                <w:rFonts w:ascii="Times New Roman" w:hAnsi="Times New Roman" w:cs="Times New Roman" w:eastAsia="바탕"/>
                <w:b w:val="0"/>
                <w:i w:val="0"/>
                <w:sz w:val="20"/>
              </w:rPr>
              <w:t>17 (10.8)</w:t>
            </w:r>
          </w:p>
        </w:tc>
      </w:tr>
    </w:tbl>
    <w:p>
      <w:pPr>
        <w:keepNext w:val="0"/>
        <w:spacing w:line="240" w:lineRule="auto" w:before="80" w:after="360"/>
        <w:jc w:val="left"/>
      </w:pPr>
      <w:r>
        <w:rPr>
          <w:rFonts w:ascii="Times New Roman" w:hAnsi="Times New Roman" w:cs="Times New Roman" w:eastAsia="바탕"/>
          <w:b w:val="0"/>
          <w:i/>
          <w:sz w:val="20"/>
        </w:rPr>
        <w:t>Note.</w:t>
      </w:r>
      <w:r>
        <w:rPr>
          <w:rFonts w:ascii="Times New Roman" w:hAnsi="Times New Roman" w:cs="Times New Roman" w:eastAsia="바탕"/>
          <w:b w:val="0"/>
          <w:i w:val="0"/>
          <w:sz w:val="20"/>
        </w:rPr>
        <w:t xml:space="preserve"> </w:t>
      </w:r>
      <w:r>
        <w:rPr>
          <w:rFonts w:ascii="Times New Roman" w:hAnsi="Times New Roman" w:cs="Times New Roman" w:eastAsia="바탕"/>
          <w:b w:val="0"/>
          <w:i w:val="0"/>
          <w:sz w:val="20"/>
          <w:vertAlign w:val="superscript"/>
        </w:rPr>
        <w:t>a</w:t>
      </w:r>
      <w:r>
        <w:rPr>
          <w:rFonts w:ascii="Times New Roman" w:hAnsi="Times New Roman" w:cs="Times New Roman" w:eastAsia="바탕"/>
          <w:b w:val="0"/>
          <w:i w:val="0"/>
          <w:sz w:val="20"/>
        </w:rPr>
        <w:t xml:space="preserve">Includes three participants on parental leave. </w:t>
      </w:r>
      <w:r>
        <w:rPr>
          <w:rFonts w:ascii="Times New Roman" w:hAnsi="Times New Roman" w:cs="Times New Roman" w:eastAsia="바탕"/>
          <w:b w:val="0"/>
          <w:i w:val="0"/>
          <w:sz w:val="20"/>
          <w:vertAlign w:val="superscript"/>
        </w:rPr>
        <w:t>b</w:t>
      </w:r>
      <w:r>
        <w:rPr>
          <w:rFonts w:ascii="Times New Roman" w:hAnsi="Times New Roman" w:cs="Times New Roman" w:eastAsia="바탕"/>
          <w:b w:val="0"/>
          <w:i w:val="0"/>
          <w:sz w:val="20"/>
        </w:rPr>
        <w:t>Includes two participants who reported no pain (0).</w:t>
      </w:r>
    </w:p>
    <w:p>
      <w:r>
        <w:br w:type="page"/>
      </w:r>
    </w:p>
    <w:p>
      <w:pPr>
        <w:keepNext/>
        <w:spacing w:line="240" w:lineRule="auto" w:before="0" w:after="80"/>
        <w:jc w:val="left"/>
      </w:pPr>
      <w:r>
        <w:rPr>
          <w:rFonts w:ascii="Times New Roman" w:hAnsi="Times New Roman" w:cs="Times New Roman" w:eastAsia="바탕"/>
          <w:b/>
          <w:i/>
          <w:sz w:val="22"/>
        </w:rPr>
        <w:t>Table 2.</w:t>
      </w:r>
      <w:r>
        <w:rPr>
          <w:rFonts w:ascii="Times New Roman" w:hAnsi="Times New Roman" w:cs="Times New Roman" w:eastAsia="바탕"/>
          <w:b w:val="0"/>
          <w:i w:val="0"/>
          <w:sz w:val="22"/>
        </w:rPr>
        <w:t xml:space="preserve"> Descriptive statistics and correlations among the main variables (</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 158)</w:t>
      </w:r>
    </w:p>
    <w:tbl>
      <w:tblPr>
        <w:tblW w:type="auto" w:w="0"/>
        <w:jc w:val="center"/>
        <w:tblLayout w:type="fixed"/>
        <w:tblLook w:firstColumn="1" w:firstRow="1" w:lastColumn="0" w:lastRow="0" w:noHBand="0" w:noVBand="1" w:val="04A0"/>
        <w:tblCellMar>
          <w:left w:w="57" w:type="dxa"/>
          <w:right w:w="57" w:type="dxa"/>
        </w:tblCellMar>
      </w:tblPr>
      <w:tblGrid>
        <w:gridCol w:w="2381"/>
        <w:gridCol w:w="1361"/>
        <w:gridCol w:w="794"/>
        <w:gridCol w:w="964"/>
        <w:gridCol w:w="907"/>
        <w:gridCol w:w="454"/>
        <w:gridCol w:w="794"/>
        <w:gridCol w:w="794"/>
        <w:gridCol w:w="454"/>
      </w:tblGrid>
      <w:tr>
        <w:trPr>
          <w:cantSplit/>
        </w:trPr>
        <w:tc>
          <w:tcPr>
            <w:tcW w:type="dxa" w:w="2381"/>
            <w:tcBorders>
              <w:top w:val="single" w:sz="12" w:color="000000"/>
              <w:bottom w:val="single" w:sz="6" w:color="000000"/>
            </w:tcBorders>
          </w:tcPr>
          <w:p>
            <w:pPr>
              <w:keepNext/>
              <w:spacing w:before="20" w:after="20"/>
              <w:jc w:val="left"/>
            </w:pPr>
            <w:r>
              <w:rPr>
                <w:rFonts w:ascii="Times New Roman" w:hAnsi="Times New Roman" w:cs="Times New Roman" w:eastAsia="바탕"/>
                <w:b w:val="0"/>
                <w:i w:val="0"/>
                <w:sz w:val="20"/>
              </w:rPr>
              <w:t>Variable</w:t>
            </w:r>
          </w:p>
        </w:tc>
        <w:tc>
          <w:tcPr>
            <w:tcW w:type="dxa" w:w="1361"/>
            <w:tcBorders>
              <w:top w:val="single" w:sz="12" w:color="000000"/>
              <w:bottom w:val="single" w:sz="6" w:color="000000"/>
            </w:tcBorders>
          </w:tcPr>
          <w:p>
            <w:pPr>
              <w:keepNext/>
              <w:spacing w:before="20" w:after="20"/>
              <w:jc w:val="center"/>
            </w:pPr>
            <w:r>
              <w:rPr>
                <w:rFonts w:ascii="Times New Roman" w:hAnsi="Times New Roman" w:cs="Times New Roman" w:eastAsia="바탕"/>
                <w:b w:val="0"/>
                <w:i/>
                <w:sz w:val="20"/>
              </w:rPr>
              <w:t>M</w:t>
            </w:r>
            <w:r>
              <w:rPr>
                <w:rFonts w:ascii="Times New Roman" w:hAnsi="Times New Roman" w:cs="Times New Roman" w:eastAsia="바탕"/>
                <w:b w:val="0"/>
                <w:i w:val="0"/>
                <w:sz w:val="20"/>
              </w:rPr>
              <w:t xml:space="preserve"> ± </w:t>
            </w:r>
            <w:r>
              <w:rPr>
                <w:rFonts w:ascii="Times New Roman" w:hAnsi="Times New Roman" w:cs="Times New Roman" w:eastAsia="바탕"/>
                <w:b w:val="0"/>
                <w:i/>
                <w:sz w:val="20"/>
              </w:rPr>
              <w:t>SD</w:t>
            </w:r>
          </w:p>
        </w:tc>
        <w:tc>
          <w:tcPr>
            <w:tcW w:type="dxa" w:w="794"/>
            <w:tcBorders>
              <w:top w:val="single" w:sz="12" w:color="000000"/>
              <w:bottom w:val="single" w:sz="6" w:color="000000"/>
            </w:tcBorders>
          </w:tcPr>
          <w:p>
            <w:pPr>
              <w:keepNext/>
              <w:spacing w:before="20" w:after="20"/>
              <w:jc w:val="center"/>
            </w:pPr>
            <w:r>
              <w:rPr>
                <w:rFonts w:ascii="Times New Roman" w:hAnsi="Times New Roman" w:cs="Times New Roman" w:eastAsia="바탕"/>
                <w:b w:val="0"/>
                <w:i w:val="0"/>
                <w:sz w:val="20"/>
              </w:rPr>
              <w:t>Range</w:t>
            </w:r>
          </w:p>
        </w:tc>
        <w:tc>
          <w:tcPr>
            <w:tcW w:type="dxa" w:w="964"/>
            <w:tcBorders>
              <w:top w:val="single" w:sz="12" w:color="000000"/>
              <w:bottom w:val="single" w:sz="6" w:color="000000"/>
            </w:tcBorders>
          </w:tcPr>
          <w:p>
            <w:pPr>
              <w:keepNext/>
              <w:spacing w:before="20" w:after="20"/>
              <w:jc w:val="center"/>
            </w:pPr>
            <w:r>
              <w:rPr>
                <w:rFonts w:ascii="Times New Roman" w:hAnsi="Times New Roman" w:cs="Times New Roman" w:eastAsia="바탕"/>
                <w:b w:val="0"/>
                <w:i w:val="0"/>
                <w:sz w:val="20"/>
              </w:rPr>
              <w:t>Skewness</w:t>
            </w:r>
          </w:p>
        </w:tc>
        <w:tc>
          <w:tcPr>
            <w:tcW w:type="dxa" w:w="907"/>
            <w:tcBorders>
              <w:top w:val="single" w:sz="12" w:color="000000"/>
              <w:bottom w:val="single" w:sz="6" w:color="000000"/>
            </w:tcBorders>
          </w:tcPr>
          <w:p>
            <w:pPr>
              <w:keepNext/>
              <w:spacing w:before="20" w:after="20"/>
              <w:jc w:val="center"/>
            </w:pPr>
            <w:r>
              <w:rPr>
                <w:rFonts w:ascii="Times New Roman" w:hAnsi="Times New Roman" w:cs="Times New Roman" w:eastAsia="바탕"/>
                <w:b w:val="0"/>
                <w:i w:val="0"/>
                <w:sz w:val="20"/>
              </w:rPr>
              <w:t>Kurtosis</w:t>
            </w:r>
          </w:p>
        </w:tc>
        <w:tc>
          <w:tcPr>
            <w:tcW w:type="dxa" w:w="454"/>
            <w:tcBorders>
              <w:top w:val="single" w:sz="12" w:color="000000"/>
              <w:bottom w:val="single" w:sz="6" w:color="000000"/>
            </w:tcBorders>
          </w:tcPr>
          <w:p>
            <w:pPr>
              <w:keepNext/>
              <w:spacing w:before="20" w:after="20"/>
              <w:jc w:val="center"/>
            </w:pPr>
            <w:r>
              <w:rPr>
                <w:rFonts w:ascii="Times New Roman" w:hAnsi="Times New Roman" w:cs="Times New Roman" w:eastAsia="바탕"/>
                <w:b w:val="0"/>
                <w:i w:val="0"/>
                <w:sz w:val="20"/>
              </w:rPr>
              <w:t>α</w:t>
            </w:r>
          </w:p>
        </w:tc>
        <w:tc>
          <w:tcPr>
            <w:tcW w:type="dxa" w:w="794"/>
            <w:tcBorders>
              <w:top w:val="single" w:sz="12" w:color="000000"/>
              <w:bottom w:val="single" w:sz="6" w:color="000000"/>
            </w:tcBorders>
          </w:tcPr>
          <w:p>
            <w:pPr>
              <w:keepNext/>
              <w:spacing w:before="20" w:after="20"/>
              <w:jc w:val="center"/>
            </w:pPr>
            <w:r>
              <w:rPr>
                <w:rFonts w:ascii="Times New Roman" w:hAnsi="Times New Roman" w:cs="Times New Roman" w:eastAsia="바탕"/>
                <w:b w:val="0"/>
                <w:i w:val="0"/>
                <w:sz w:val="20"/>
              </w:rPr>
              <w:t>1</w:t>
            </w:r>
          </w:p>
        </w:tc>
        <w:tc>
          <w:tcPr>
            <w:tcW w:type="dxa" w:w="794"/>
            <w:tcBorders>
              <w:top w:val="single" w:sz="12" w:color="000000"/>
              <w:bottom w:val="single" w:sz="6" w:color="000000"/>
            </w:tcBorders>
          </w:tcPr>
          <w:p>
            <w:pPr>
              <w:keepNext/>
              <w:spacing w:before="20" w:after="20"/>
              <w:jc w:val="center"/>
            </w:pPr>
            <w:r>
              <w:rPr>
                <w:rFonts w:ascii="Times New Roman" w:hAnsi="Times New Roman" w:cs="Times New Roman" w:eastAsia="바탕"/>
                <w:b w:val="0"/>
                <w:i w:val="0"/>
                <w:sz w:val="20"/>
              </w:rPr>
              <w:t>2</w:t>
            </w:r>
          </w:p>
        </w:tc>
        <w:tc>
          <w:tcPr>
            <w:tcW w:type="dxa" w:w="454"/>
            <w:tcBorders>
              <w:top w:val="single" w:sz="12" w:color="000000"/>
              <w:bottom w:val="single" w:sz="6" w:color="000000"/>
            </w:tcBorders>
          </w:tcPr>
          <w:p>
            <w:pPr>
              <w:keepNext/>
              <w:spacing w:before="20" w:after="20"/>
              <w:jc w:val="center"/>
            </w:pPr>
            <w:r>
              <w:rPr>
                <w:rFonts w:ascii="Times New Roman" w:hAnsi="Times New Roman" w:cs="Times New Roman" w:eastAsia="바탕"/>
                <w:b w:val="0"/>
                <w:i w:val="0"/>
                <w:sz w:val="20"/>
              </w:rPr>
              <w:t>3</w:t>
            </w:r>
          </w:p>
        </w:tc>
      </w:tr>
      <w:tr>
        <w:trPr>
          <w:cantSplit/>
        </w:trPr>
        <w:tc>
          <w:tcPr>
            <w:tcW w:type="dxa" w:w="2381"/>
          </w:tcPr>
          <w:p>
            <w:pPr>
              <w:keepNext/>
              <w:spacing w:before="20" w:after="20"/>
              <w:jc w:val="left"/>
            </w:pPr>
            <w:r>
              <w:rPr>
                <w:rFonts w:ascii="Times New Roman" w:hAnsi="Times New Roman" w:cs="Times New Roman" w:eastAsia="바탕"/>
                <w:b w:val="0"/>
                <w:i w:val="0"/>
                <w:sz w:val="20"/>
              </w:rPr>
              <w:t>1. Communicative health literacy (0–100)</w:t>
            </w:r>
          </w:p>
        </w:tc>
        <w:tc>
          <w:tcPr>
            <w:tcW w:type="dxa" w:w="1361"/>
          </w:tcPr>
          <w:p>
            <w:pPr>
              <w:keepNext/>
              <w:spacing w:before="20" w:after="20"/>
              <w:jc w:val="center"/>
            </w:pPr>
            <w:r>
              <w:rPr>
                <w:rFonts w:ascii="Times New Roman" w:hAnsi="Times New Roman" w:cs="Times New Roman" w:eastAsia="바탕"/>
                <w:b w:val="0"/>
                <w:i w:val="0"/>
                <w:sz w:val="20"/>
              </w:rPr>
              <w:t>80.27 ± 30.32</w:t>
            </w:r>
          </w:p>
        </w:tc>
        <w:tc>
          <w:tcPr>
            <w:tcW w:type="dxa" w:w="794"/>
          </w:tcPr>
          <w:p>
            <w:pPr>
              <w:keepNext/>
              <w:spacing w:before="20" w:after="20"/>
              <w:jc w:val="center"/>
            </w:pPr>
            <w:r>
              <w:rPr>
                <w:rFonts w:ascii="Times New Roman" w:hAnsi="Times New Roman" w:cs="Times New Roman" w:eastAsia="바탕"/>
                <w:b w:val="0"/>
                <w:i w:val="0"/>
                <w:sz w:val="20"/>
              </w:rPr>
              <w:t>0–100</w:t>
            </w:r>
          </w:p>
        </w:tc>
        <w:tc>
          <w:tcPr>
            <w:tcW w:type="dxa" w:w="964"/>
          </w:tcPr>
          <w:p>
            <w:pPr>
              <w:keepNext/>
              <w:spacing w:before="20" w:after="20"/>
              <w:jc w:val="center"/>
            </w:pPr>
            <w:r>
              <w:rPr>
                <w:rFonts w:ascii="Times New Roman" w:hAnsi="Times New Roman" w:cs="Times New Roman" w:eastAsia="바탕"/>
                <w:b w:val="0"/>
                <w:i w:val="0"/>
                <w:sz w:val="20"/>
              </w:rPr>
              <w:t>−1.47</w:t>
            </w:r>
          </w:p>
        </w:tc>
        <w:tc>
          <w:tcPr>
            <w:tcW w:type="dxa" w:w="907"/>
          </w:tcPr>
          <w:p>
            <w:pPr>
              <w:keepNext/>
              <w:spacing w:before="20" w:after="20"/>
              <w:jc w:val="center"/>
            </w:pPr>
            <w:r>
              <w:rPr>
                <w:rFonts w:ascii="Times New Roman" w:hAnsi="Times New Roman" w:cs="Times New Roman" w:eastAsia="바탕"/>
                <w:b w:val="0"/>
                <w:i w:val="0"/>
                <w:sz w:val="20"/>
              </w:rPr>
              <w:t>0.96</w:t>
            </w:r>
          </w:p>
        </w:tc>
        <w:tc>
          <w:tcPr>
            <w:tcW w:type="dxa" w:w="454"/>
          </w:tcPr>
          <w:p>
            <w:pPr>
              <w:keepNext/>
              <w:spacing w:before="20" w:after="20"/>
              <w:jc w:val="center"/>
            </w:pPr>
            <w:r>
              <w:rPr>
                <w:rFonts w:ascii="Times New Roman" w:hAnsi="Times New Roman" w:cs="Times New Roman" w:eastAsia="바탕"/>
                <w:b w:val="0"/>
                <w:i w:val="0"/>
                <w:sz w:val="20"/>
              </w:rPr>
              <w:t>.92</w:t>
            </w:r>
          </w:p>
        </w:tc>
        <w:tc>
          <w:tcPr>
            <w:tcW w:type="dxa" w:w="794"/>
          </w:tcPr>
          <w:p>
            <w:pPr>
              <w:keepNext/>
              <w:spacing w:before="20" w:after="20"/>
              <w:jc w:val="center"/>
            </w:pPr>
            <w:r>
              <w:rPr>
                <w:rFonts w:ascii="Times New Roman" w:hAnsi="Times New Roman" w:cs="Times New Roman" w:eastAsia="바탕"/>
                <w:b w:val="0"/>
                <w:i w:val="0"/>
                <w:sz w:val="20"/>
              </w:rPr>
              <w:t>—</w:t>
            </w:r>
          </w:p>
        </w:tc>
        <w:tc>
          <w:tcPr>
            <w:tcW w:type="dxa" w:w="794"/>
          </w:tcPr>
          <w:p>
            <w:pPr>
              <w:keepNext/>
              <w:spacing w:before="20" w:after="20"/>
              <w:jc w:val="center"/>
            </w:pPr>
          </w:p>
        </w:tc>
        <w:tc>
          <w:tcPr>
            <w:tcW w:type="dxa" w:w="454"/>
          </w:tcPr>
          <w:p>
            <w:pPr>
              <w:keepNext/>
              <w:spacing w:before="20" w:after="20"/>
              <w:jc w:val="center"/>
            </w:pPr>
          </w:p>
        </w:tc>
      </w:tr>
      <w:tr>
        <w:trPr>
          <w:cantSplit/>
        </w:trPr>
        <w:tc>
          <w:tcPr>
            <w:tcW w:type="dxa" w:w="2381"/>
          </w:tcPr>
          <w:p>
            <w:pPr>
              <w:keepNext/>
              <w:spacing w:before="20" w:after="20"/>
              <w:jc w:val="left"/>
            </w:pPr>
            <w:r>
              <w:rPr>
                <w:rFonts w:ascii="Times New Roman" w:hAnsi="Times New Roman" w:cs="Times New Roman" w:eastAsia="바탕"/>
                <w:b w:val="0"/>
                <w:i w:val="0"/>
                <w:sz w:val="20"/>
              </w:rPr>
              <w:t>2. Pain concept knowledge (0–52)</w:t>
            </w:r>
          </w:p>
        </w:tc>
        <w:tc>
          <w:tcPr>
            <w:tcW w:type="dxa" w:w="1361"/>
          </w:tcPr>
          <w:p>
            <w:pPr>
              <w:keepNext/>
              <w:spacing w:before="20" w:after="20"/>
              <w:jc w:val="center"/>
            </w:pPr>
            <w:r>
              <w:rPr>
                <w:rFonts w:ascii="Times New Roman" w:hAnsi="Times New Roman" w:cs="Times New Roman" w:eastAsia="바탕"/>
                <w:b w:val="0"/>
                <w:i w:val="0"/>
                <w:sz w:val="20"/>
              </w:rPr>
              <w:t>33.13 ± 4.79</w:t>
            </w:r>
          </w:p>
        </w:tc>
        <w:tc>
          <w:tcPr>
            <w:tcW w:type="dxa" w:w="794"/>
          </w:tcPr>
          <w:p>
            <w:pPr>
              <w:keepNext/>
              <w:spacing w:before="20" w:after="20"/>
              <w:jc w:val="center"/>
            </w:pPr>
            <w:r>
              <w:rPr>
                <w:rFonts w:ascii="Times New Roman" w:hAnsi="Times New Roman" w:cs="Times New Roman" w:eastAsia="바탕"/>
                <w:b w:val="0"/>
                <w:i w:val="0"/>
                <w:sz w:val="20"/>
              </w:rPr>
              <w:t>17–52</w:t>
            </w:r>
          </w:p>
        </w:tc>
        <w:tc>
          <w:tcPr>
            <w:tcW w:type="dxa" w:w="964"/>
          </w:tcPr>
          <w:p>
            <w:pPr>
              <w:keepNext/>
              <w:spacing w:before="20" w:after="20"/>
              <w:jc w:val="center"/>
            </w:pPr>
            <w:r>
              <w:rPr>
                <w:rFonts w:ascii="Times New Roman" w:hAnsi="Times New Roman" w:cs="Times New Roman" w:eastAsia="바탕"/>
                <w:b w:val="0"/>
                <w:i w:val="0"/>
                <w:sz w:val="20"/>
              </w:rPr>
              <w:t>−0.15</w:t>
            </w:r>
          </w:p>
        </w:tc>
        <w:tc>
          <w:tcPr>
            <w:tcW w:type="dxa" w:w="907"/>
          </w:tcPr>
          <w:p>
            <w:pPr>
              <w:keepNext/>
              <w:spacing w:before="20" w:after="20"/>
              <w:jc w:val="center"/>
            </w:pPr>
            <w:r>
              <w:rPr>
                <w:rFonts w:ascii="Times New Roman" w:hAnsi="Times New Roman" w:cs="Times New Roman" w:eastAsia="바탕"/>
                <w:b w:val="0"/>
                <w:i w:val="0"/>
                <w:sz w:val="20"/>
              </w:rPr>
              <w:t>1.74</w:t>
            </w:r>
          </w:p>
        </w:tc>
        <w:tc>
          <w:tcPr>
            <w:tcW w:type="dxa" w:w="454"/>
          </w:tcPr>
          <w:p>
            <w:pPr>
              <w:keepNext/>
              <w:spacing w:before="20" w:after="20"/>
              <w:jc w:val="center"/>
            </w:pPr>
            <w:r>
              <w:rPr>
                <w:rFonts w:ascii="Times New Roman" w:hAnsi="Times New Roman" w:cs="Times New Roman" w:eastAsia="바탕"/>
                <w:b w:val="0"/>
                <w:i w:val="0"/>
                <w:sz w:val="20"/>
              </w:rPr>
              <w:t>.64</w:t>
            </w:r>
          </w:p>
        </w:tc>
        <w:tc>
          <w:tcPr>
            <w:tcW w:type="dxa" w:w="794"/>
          </w:tcPr>
          <w:p>
            <w:pPr>
              <w:keepNext/>
              <w:spacing w:before="20" w:after="20"/>
              <w:jc w:val="center"/>
            </w:pPr>
            <w:r>
              <w:rPr>
                <w:rFonts w:ascii="Times New Roman" w:hAnsi="Times New Roman" w:cs="Times New Roman" w:eastAsia="바탕"/>
                <w:b w:val="0"/>
                <w:i w:val="0"/>
                <w:sz w:val="20"/>
              </w:rPr>
              <w:t>.15</w:t>
            </w:r>
          </w:p>
        </w:tc>
        <w:tc>
          <w:tcPr>
            <w:tcW w:type="dxa" w:w="794"/>
          </w:tcPr>
          <w:p>
            <w:pPr>
              <w:keepNext/>
              <w:spacing w:before="20" w:after="20"/>
              <w:jc w:val="center"/>
            </w:pPr>
            <w:r>
              <w:rPr>
                <w:rFonts w:ascii="Times New Roman" w:hAnsi="Times New Roman" w:cs="Times New Roman" w:eastAsia="바탕"/>
                <w:b w:val="0"/>
                <w:i w:val="0"/>
                <w:sz w:val="20"/>
              </w:rPr>
              <w:t>—</w:t>
            </w:r>
          </w:p>
        </w:tc>
        <w:tc>
          <w:tcPr>
            <w:tcW w:type="dxa" w:w="454"/>
          </w:tcPr>
          <w:p>
            <w:pPr>
              <w:keepNext/>
              <w:spacing w:before="20" w:after="20"/>
              <w:jc w:val="center"/>
            </w:pPr>
          </w:p>
        </w:tc>
      </w:tr>
      <w:tr>
        <w:trPr>
          <w:cantSplit/>
        </w:trPr>
        <w:tc>
          <w:tcPr>
            <w:tcW w:type="dxa" w:w="2381"/>
            <w:tcBorders>
              <w:bottom w:val="single" w:sz="12" w:color="000000"/>
            </w:tcBorders>
          </w:tcPr>
          <w:p>
            <w:pPr>
              <w:keepNext/>
              <w:spacing w:before="20" w:after="20"/>
              <w:jc w:val="left"/>
            </w:pPr>
            <w:r>
              <w:rPr>
                <w:rFonts w:ascii="Times New Roman" w:hAnsi="Times New Roman" w:cs="Times New Roman" w:eastAsia="바탕"/>
                <w:b w:val="0"/>
                <w:i w:val="0"/>
                <w:sz w:val="20"/>
              </w:rPr>
              <w:t>3. Physical activity self-regulation (9–54)</w:t>
            </w:r>
          </w:p>
        </w:tc>
        <w:tc>
          <w:tcPr>
            <w:tcW w:type="dxa" w:w="1361"/>
            <w:tcBorders>
              <w:bottom w:val="single" w:sz="12" w:color="000000"/>
            </w:tcBorders>
          </w:tcPr>
          <w:p>
            <w:pPr>
              <w:keepNext/>
              <w:spacing w:before="20" w:after="20"/>
              <w:jc w:val="center"/>
            </w:pPr>
            <w:r>
              <w:rPr>
                <w:rFonts w:ascii="Times New Roman" w:hAnsi="Times New Roman" w:cs="Times New Roman" w:eastAsia="바탕"/>
                <w:b w:val="0"/>
                <w:i w:val="0"/>
                <w:sz w:val="20"/>
              </w:rPr>
              <w:t>35.22 ± 8.88</w:t>
            </w:r>
          </w:p>
        </w:tc>
        <w:tc>
          <w:tcPr>
            <w:tcW w:type="dxa" w:w="794"/>
            <w:tcBorders>
              <w:bottom w:val="single" w:sz="12" w:color="000000"/>
            </w:tcBorders>
          </w:tcPr>
          <w:p>
            <w:pPr>
              <w:keepNext/>
              <w:spacing w:before="20" w:after="20"/>
              <w:jc w:val="center"/>
            </w:pPr>
            <w:r>
              <w:rPr>
                <w:rFonts w:ascii="Times New Roman" w:hAnsi="Times New Roman" w:cs="Times New Roman" w:eastAsia="바탕"/>
                <w:b w:val="0"/>
                <w:i w:val="0"/>
                <w:sz w:val="20"/>
              </w:rPr>
              <w:t>9–54</w:t>
            </w:r>
          </w:p>
        </w:tc>
        <w:tc>
          <w:tcPr>
            <w:tcW w:type="dxa" w:w="964"/>
            <w:tcBorders>
              <w:bottom w:val="single" w:sz="12" w:color="000000"/>
            </w:tcBorders>
          </w:tcPr>
          <w:p>
            <w:pPr>
              <w:keepNext/>
              <w:spacing w:before="20" w:after="20"/>
              <w:jc w:val="center"/>
            </w:pPr>
            <w:r>
              <w:rPr>
                <w:rFonts w:ascii="Times New Roman" w:hAnsi="Times New Roman" w:cs="Times New Roman" w:eastAsia="바탕"/>
                <w:b w:val="0"/>
                <w:i w:val="0"/>
                <w:sz w:val="20"/>
              </w:rPr>
              <w:t>−0.21</w:t>
            </w:r>
          </w:p>
        </w:tc>
        <w:tc>
          <w:tcPr>
            <w:tcW w:type="dxa" w:w="907"/>
            <w:tcBorders>
              <w:bottom w:val="single" w:sz="12" w:color="000000"/>
            </w:tcBorders>
          </w:tcPr>
          <w:p>
            <w:pPr>
              <w:keepNext/>
              <w:spacing w:before="20" w:after="20"/>
              <w:jc w:val="center"/>
            </w:pPr>
            <w:r>
              <w:rPr>
                <w:rFonts w:ascii="Times New Roman" w:hAnsi="Times New Roman" w:cs="Times New Roman" w:eastAsia="바탕"/>
                <w:b w:val="0"/>
                <w:i w:val="0"/>
                <w:sz w:val="20"/>
              </w:rPr>
              <w:t>0.17</w:t>
            </w:r>
          </w:p>
        </w:tc>
        <w:tc>
          <w:tcPr>
            <w:tcW w:type="dxa" w:w="454"/>
            <w:tcBorders>
              <w:bottom w:val="single" w:sz="12" w:color="000000"/>
            </w:tcBorders>
          </w:tcPr>
          <w:p>
            <w:pPr>
              <w:keepNext/>
              <w:spacing w:before="20" w:after="20"/>
              <w:jc w:val="center"/>
            </w:pPr>
            <w:r>
              <w:rPr>
                <w:rFonts w:ascii="Times New Roman" w:hAnsi="Times New Roman" w:cs="Times New Roman" w:eastAsia="바탕"/>
                <w:b w:val="0"/>
                <w:i w:val="0"/>
                <w:sz w:val="20"/>
              </w:rPr>
              <w:t>.91</w:t>
            </w:r>
          </w:p>
        </w:tc>
        <w:tc>
          <w:tcPr>
            <w:tcW w:type="dxa" w:w="794"/>
            <w:tcBorders>
              <w:bottom w:val="single" w:sz="12" w:color="000000"/>
            </w:tcBorders>
          </w:tcPr>
          <w:p>
            <w:pPr>
              <w:keepNext/>
              <w:spacing w:before="20" w:after="20"/>
              <w:jc w:val="center"/>
            </w:pPr>
            <w:r>
              <w:rPr>
                <w:rFonts w:ascii="Times New Roman" w:hAnsi="Times New Roman" w:cs="Times New Roman" w:eastAsia="바탕"/>
                <w:b w:val="0"/>
                <w:i w:val="0"/>
                <w:sz w:val="20"/>
              </w:rPr>
              <w:t>.27***</w:t>
            </w:r>
          </w:p>
        </w:tc>
        <w:tc>
          <w:tcPr>
            <w:tcW w:type="dxa" w:w="794"/>
            <w:tcBorders>
              <w:bottom w:val="single" w:sz="12" w:color="000000"/>
            </w:tcBorders>
          </w:tcPr>
          <w:p>
            <w:pPr>
              <w:keepNext/>
              <w:spacing w:before="20" w:after="20"/>
              <w:jc w:val="center"/>
            </w:pPr>
            <w:r>
              <w:rPr>
                <w:rFonts w:ascii="Times New Roman" w:hAnsi="Times New Roman" w:cs="Times New Roman" w:eastAsia="바탕"/>
                <w:b w:val="0"/>
                <w:i w:val="0"/>
                <w:sz w:val="20"/>
              </w:rPr>
              <w:t>.27***</w:t>
            </w:r>
          </w:p>
        </w:tc>
        <w:tc>
          <w:tcPr>
            <w:tcW w:type="dxa" w:w="454"/>
            <w:tcBorders>
              <w:bottom w:val="single" w:sz="12" w:color="000000"/>
            </w:tcBorders>
          </w:tcPr>
          <w:p>
            <w:pPr>
              <w:keepNext/>
              <w:spacing w:before="20" w:after="20"/>
              <w:jc w:val="center"/>
            </w:pPr>
            <w:r>
              <w:rPr>
                <w:rFonts w:ascii="Times New Roman" w:hAnsi="Times New Roman" w:cs="Times New Roman" w:eastAsia="바탕"/>
                <w:b w:val="0"/>
                <w:i w:val="0"/>
                <w:sz w:val="20"/>
              </w:rPr>
              <w:t>—</w:t>
            </w:r>
          </w:p>
        </w:tc>
      </w:tr>
    </w:tbl>
    <w:p>
      <w:pPr>
        <w:keepNext w:val="0"/>
        <w:spacing w:line="240" w:lineRule="auto" w:before="80" w:after="360"/>
        <w:jc w:val="left"/>
      </w:pPr>
      <w:r>
        <w:rPr>
          <w:rFonts w:ascii="Times New Roman" w:hAnsi="Times New Roman" w:cs="Times New Roman" w:eastAsia="바탕"/>
          <w:b w:val="0"/>
          <w:i/>
          <w:sz w:val="20"/>
        </w:rPr>
        <w:t>Note.</w:t>
      </w:r>
      <w:r>
        <w:rPr>
          <w:rFonts w:ascii="Times New Roman" w:hAnsi="Times New Roman" w:cs="Times New Roman" w:eastAsia="바탕"/>
          <w:b w:val="0"/>
          <w:i w:val="0"/>
          <w:sz w:val="20"/>
        </w:rPr>
        <w:t xml:space="preserve"> Possible score ranges are shown in parentheses; the Range column shows observed scores. Correlations are Pearson's </w:t>
      </w:r>
      <w:r>
        <w:rPr>
          <w:rFonts w:ascii="Times New Roman" w:hAnsi="Times New Roman" w:cs="Times New Roman" w:eastAsia="바탕"/>
          <w:b w:val="0"/>
          <w:i/>
          <w:sz w:val="20"/>
        </w:rPr>
        <w:t>r</w:t>
      </w:r>
      <w:r>
        <w:rPr>
          <w:rFonts w:ascii="Times New Roman" w:hAnsi="Times New Roman" w:cs="Times New Roman" w:eastAsia="바탕"/>
          <w:b w:val="0"/>
          <w:i w:val="0"/>
          <w:sz w:val="20"/>
        </w:rPr>
        <w:t>. α = Cronbach's α in the present sample. A total of 59.5% of the participants obtained the maximum communicative health literacy score (100). ***</w:t>
      </w:r>
      <w:r>
        <w:rPr>
          <w:rFonts w:ascii="Times New Roman" w:hAnsi="Times New Roman" w:cs="Times New Roman" w:eastAsia="바탕"/>
          <w:b w:val="0"/>
          <w:i/>
          <w:sz w:val="20"/>
        </w:rPr>
        <w:t>p</w:t>
      </w:r>
      <w:r>
        <w:rPr>
          <w:rFonts w:ascii="Times New Roman" w:hAnsi="Times New Roman" w:cs="Times New Roman" w:eastAsia="바탕"/>
          <w:b w:val="0"/>
          <w:i w:val="0"/>
          <w:sz w:val="20"/>
        </w:rPr>
        <w:t xml:space="preserve"> &lt; .001.</w:t>
      </w:r>
    </w:p>
    <w:p>
      <w:r>
        <w:br w:type="page"/>
      </w:r>
    </w:p>
    <w:p>
      <w:pPr>
        <w:keepNext/>
        <w:spacing w:line="240" w:lineRule="auto" w:before="0" w:after="80"/>
        <w:jc w:val="left"/>
      </w:pPr>
      <w:r>
        <w:rPr>
          <w:rFonts w:ascii="Times New Roman" w:hAnsi="Times New Roman" w:cs="Times New Roman" w:eastAsia="바탕"/>
          <w:b/>
          <w:i/>
          <w:sz w:val="22"/>
        </w:rPr>
        <w:t>Table 3.</w:t>
      </w:r>
      <w:r>
        <w:rPr>
          <w:rFonts w:ascii="Times New Roman" w:hAnsi="Times New Roman" w:cs="Times New Roman" w:eastAsia="바탕"/>
          <w:b w:val="0"/>
          <w:i w:val="0"/>
          <w:sz w:val="22"/>
        </w:rPr>
        <w:t xml:space="preserve"> Mediating effect of pain concept knowledge on the relationship between communicative health literacy and physical activity self-regulation (</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 158)</w:t>
      </w:r>
    </w:p>
    <w:tbl>
      <w:tblPr>
        <w:tblW w:type="auto" w:w="0"/>
        <w:jc w:val="center"/>
        <w:tblLayout w:type="fixed"/>
        <w:tblLook w:firstColumn="1" w:firstRow="1" w:lastColumn="0" w:lastRow="0" w:noHBand="0" w:noVBand="1" w:val="04A0"/>
        <w:tblCellMar>
          <w:left w:w="57" w:type="dxa"/>
          <w:right w:w="57" w:type="dxa"/>
        </w:tblCellMar>
      </w:tblPr>
      <w:tblGrid>
        <w:gridCol w:w="3175"/>
        <w:gridCol w:w="1644"/>
        <w:gridCol w:w="1474"/>
        <w:gridCol w:w="1644"/>
        <w:gridCol w:w="1474"/>
      </w:tblGrid>
      <w:tr>
        <w:trPr>
          <w:cantSplit/>
        </w:trPr>
        <w:tc>
          <w:tcPr>
            <w:tcW w:type="dxa" w:w="3175"/>
            <w:tcBorders>
              <w:top w:val="single" w:sz="12" w:color="000000"/>
              <w:bottom w:val="single" w:sz="6" w:color="000000"/>
            </w:tcBorders>
          </w:tcPr>
          <w:p>
            <w:pPr>
              <w:keepNext/>
              <w:spacing w:before="20" w:after="20"/>
              <w:jc w:val="left"/>
            </w:pPr>
            <w:r>
              <w:rPr>
                <w:rFonts w:ascii="Times New Roman" w:hAnsi="Times New Roman" w:cs="Times New Roman" w:eastAsia="바탕"/>
                <w:b w:val="0"/>
                <w:i w:val="0"/>
                <w:sz w:val="20"/>
              </w:rPr>
              <w:t>Path</w:t>
            </w:r>
          </w:p>
        </w:tc>
        <w:tc>
          <w:tcPr>
            <w:tcW w:type="dxa" w:w="1644"/>
            <w:tcBorders>
              <w:top w:val="single" w:sz="12" w:color="000000"/>
              <w:bottom w:val="single" w:sz="6" w:color="000000"/>
            </w:tcBorders>
          </w:tcPr>
          <w:p>
            <w:pPr>
              <w:keepNext/>
              <w:spacing w:before="20" w:after="20"/>
              <w:jc w:val="center"/>
            </w:pPr>
            <w:r>
              <w:rPr>
                <w:rFonts w:ascii="Times New Roman" w:hAnsi="Times New Roman" w:cs="Times New Roman" w:eastAsia="바탕"/>
                <w:b w:val="0"/>
                <w:i w:val="0"/>
                <w:sz w:val="20"/>
              </w:rPr>
              <w:t>Model 1</w:t>
            </w:r>
            <w:r>
              <w:rPr>
                <w:rFonts w:ascii="Times New Roman" w:hAnsi="Times New Roman" w:cs="Times New Roman" w:eastAsia="바탕"/>
                <w:b w:val="0"/>
                <w:i w:val="0"/>
                <w:sz w:val="20"/>
                <w:vertAlign w:val="superscript"/>
              </w:rPr>
              <w:t>a</w:t>
            </w:r>
            <w:r>
              <w:rPr>
                <w:rFonts w:ascii="Times New Roman" w:hAnsi="Times New Roman" w:cs="Times New Roman" w:eastAsia="바탕"/>
                <w:b w:val="0"/>
                <w:i w:val="0"/>
                <w:sz w:val="20"/>
              </w:rPr>
              <w:t xml:space="preserve"> </w:t>
            </w:r>
            <w:r>
              <w:rPr>
                <w:rFonts w:ascii="Times New Roman" w:hAnsi="Times New Roman" w:cs="Times New Roman" w:eastAsia="바탕"/>
                <w:b w:val="0"/>
                <w:i/>
                <w:sz w:val="20"/>
              </w:rPr>
              <w:t>B</w:t>
            </w:r>
            <w:r>
              <w:rPr>
                <w:rFonts w:ascii="Times New Roman" w:hAnsi="Times New Roman" w:cs="Times New Roman" w:eastAsia="바탕"/>
                <w:b w:val="0"/>
                <w:i w:val="0"/>
                <w:sz w:val="20"/>
              </w:rPr>
              <w:t xml:space="preserve"> (</w:t>
            </w:r>
            <w:r>
              <w:rPr>
                <w:rFonts w:ascii="Times New Roman" w:hAnsi="Times New Roman" w:cs="Times New Roman" w:eastAsia="바탕"/>
                <w:b w:val="0"/>
                <w:i/>
                <w:sz w:val="20"/>
              </w:rPr>
              <w:t>SE</w:t>
            </w:r>
            <w:r>
              <w:rPr>
                <w:rFonts w:ascii="Times New Roman" w:hAnsi="Times New Roman" w:cs="Times New Roman" w:eastAsia="바탕"/>
                <w:b w:val="0"/>
                <w:i w:val="0"/>
                <w:sz w:val="20"/>
              </w:rPr>
              <w:t>)</w:t>
            </w:r>
          </w:p>
        </w:tc>
        <w:tc>
          <w:tcPr>
            <w:tcW w:type="dxa" w:w="1474"/>
            <w:tcBorders>
              <w:top w:val="single" w:sz="12" w:color="000000"/>
              <w:bottom w:val="single" w:sz="6" w:color="000000"/>
            </w:tcBorders>
          </w:tcPr>
          <w:p>
            <w:pPr>
              <w:keepNext/>
              <w:spacing w:before="20" w:after="20"/>
              <w:jc w:val="center"/>
            </w:pPr>
            <w:r>
              <w:rPr>
                <w:rFonts w:ascii="Times New Roman" w:hAnsi="Times New Roman" w:cs="Times New Roman" w:eastAsia="바탕"/>
                <w:b w:val="0"/>
                <w:i w:val="0"/>
                <w:sz w:val="20"/>
              </w:rPr>
              <w:t>95% CI</w:t>
            </w:r>
          </w:p>
        </w:tc>
        <w:tc>
          <w:tcPr>
            <w:tcW w:type="dxa" w:w="1644"/>
            <w:tcBorders>
              <w:top w:val="single" w:sz="12" w:color="000000"/>
              <w:bottom w:val="single" w:sz="6" w:color="000000"/>
            </w:tcBorders>
          </w:tcPr>
          <w:p>
            <w:pPr>
              <w:keepNext/>
              <w:spacing w:before="20" w:after="20"/>
              <w:jc w:val="center"/>
            </w:pPr>
            <w:r>
              <w:rPr>
                <w:rFonts w:ascii="Times New Roman" w:hAnsi="Times New Roman" w:cs="Times New Roman" w:eastAsia="바탕"/>
                <w:b w:val="0"/>
                <w:i w:val="0"/>
                <w:sz w:val="20"/>
              </w:rPr>
              <w:t>Model 2</w:t>
            </w:r>
            <w:r>
              <w:rPr>
                <w:rFonts w:ascii="Times New Roman" w:hAnsi="Times New Roman" w:cs="Times New Roman" w:eastAsia="바탕"/>
                <w:b w:val="0"/>
                <w:i w:val="0"/>
                <w:sz w:val="20"/>
                <w:vertAlign w:val="superscript"/>
              </w:rPr>
              <w:t>b</w:t>
            </w:r>
            <w:r>
              <w:rPr>
                <w:rFonts w:ascii="Times New Roman" w:hAnsi="Times New Roman" w:cs="Times New Roman" w:eastAsia="바탕"/>
                <w:b w:val="0"/>
                <w:i w:val="0"/>
                <w:sz w:val="20"/>
              </w:rPr>
              <w:t xml:space="preserve"> </w:t>
            </w:r>
            <w:r>
              <w:rPr>
                <w:rFonts w:ascii="Times New Roman" w:hAnsi="Times New Roman" w:cs="Times New Roman" w:eastAsia="바탕"/>
                <w:b w:val="0"/>
                <w:i/>
                <w:sz w:val="20"/>
              </w:rPr>
              <w:t>B</w:t>
            </w:r>
            <w:r>
              <w:rPr>
                <w:rFonts w:ascii="Times New Roman" w:hAnsi="Times New Roman" w:cs="Times New Roman" w:eastAsia="바탕"/>
                <w:b w:val="0"/>
                <w:i w:val="0"/>
                <w:sz w:val="20"/>
              </w:rPr>
              <w:t xml:space="preserve"> (</w:t>
            </w:r>
            <w:r>
              <w:rPr>
                <w:rFonts w:ascii="Times New Roman" w:hAnsi="Times New Roman" w:cs="Times New Roman" w:eastAsia="바탕"/>
                <w:b w:val="0"/>
                <w:i/>
                <w:sz w:val="20"/>
              </w:rPr>
              <w:t>SE</w:t>
            </w:r>
            <w:r>
              <w:rPr>
                <w:rFonts w:ascii="Times New Roman" w:hAnsi="Times New Roman" w:cs="Times New Roman" w:eastAsia="바탕"/>
                <w:b w:val="0"/>
                <w:i w:val="0"/>
                <w:sz w:val="20"/>
              </w:rPr>
              <w:t>)</w:t>
            </w:r>
          </w:p>
        </w:tc>
        <w:tc>
          <w:tcPr>
            <w:tcW w:type="dxa" w:w="1474"/>
            <w:tcBorders>
              <w:top w:val="single" w:sz="12" w:color="000000"/>
              <w:bottom w:val="single" w:sz="6" w:color="000000"/>
            </w:tcBorders>
          </w:tcPr>
          <w:p>
            <w:pPr>
              <w:keepNext/>
              <w:spacing w:before="20" w:after="20"/>
              <w:jc w:val="center"/>
            </w:pPr>
            <w:r>
              <w:rPr>
                <w:rFonts w:ascii="Times New Roman" w:hAnsi="Times New Roman" w:cs="Times New Roman" w:eastAsia="바탕"/>
                <w:b w:val="0"/>
                <w:i w:val="0"/>
                <w:sz w:val="20"/>
              </w:rPr>
              <w:t>95% CI</w:t>
            </w:r>
          </w:p>
        </w:tc>
      </w:tr>
      <w:tr>
        <w:trPr>
          <w:cantSplit/>
        </w:trPr>
        <w:tc>
          <w:tcPr>
            <w:tcW w:type="dxa" w:w="3175"/>
          </w:tcPr>
          <w:p>
            <w:pPr>
              <w:keepNext/>
              <w:spacing w:before="20" w:after="20"/>
              <w:jc w:val="left"/>
            </w:pPr>
            <w:r>
              <w:rPr>
                <w:rFonts w:ascii="Times New Roman" w:hAnsi="Times New Roman" w:cs="Times New Roman" w:eastAsia="바탕"/>
                <w:b/>
                <w:i w:val="0"/>
                <w:sz w:val="20"/>
              </w:rPr>
              <w:t>Outcome: Pain concept knowledge</w:t>
            </w:r>
          </w:p>
        </w:tc>
        <w:tc>
          <w:tcPr>
            <w:tcW w:type="dxa" w:w="1644"/>
          </w:tcPr>
          <w:p>
            <w:pPr>
              <w:keepNext/>
              <w:spacing w:before="20" w:after="20"/>
              <w:jc w:val="center"/>
            </w:pPr>
          </w:p>
        </w:tc>
        <w:tc>
          <w:tcPr>
            <w:tcW w:type="dxa" w:w="1474"/>
          </w:tcPr>
          <w:p>
            <w:pPr>
              <w:keepNext/>
              <w:spacing w:before="20" w:after="20"/>
              <w:jc w:val="center"/>
            </w:pPr>
          </w:p>
        </w:tc>
        <w:tc>
          <w:tcPr>
            <w:tcW w:type="dxa" w:w="1644"/>
          </w:tcPr>
          <w:p>
            <w:pPr>
              <w:keepNext/>
              <w:spacing w:before="20" w:after="20"/>
              <w:jc w:val="center"/>
            </w:pPr>
          </w:p>
        </w:tc>
        <w:tc>
          <w:tcPr>
            <w:tcW w:type="dxa" w:w="1474"/>
          </w:tcPr>
          <w:p>
            <w:pPr>
              <w:keepNext/>
              <w:spacing w:before="20" w:after="20"/>
              <w:jc w:val="center"/>
            </w:pPr>
          </w:p>
        </w:tc>
      </w:tr>
      <w:tr>
        <w:trPr>
          <w:cantSplit/>
        </w:trPr>
        <w:tc>
          <w:tcPr>
            <w:tcW w:type="dxa" w:w="3175"/>
          </w:tcPr>
          <w:p>
            <w:pPr>
              <w:keepNext/>
              <w:spacing w:before="20" w:after="20"/>
              <w:jc w:val="left"/>
            </w:pPr>
            <w:r>
              <w:rPr>
                <w:rFonts w:ascii="Times New Roman" w:hAnsi="Times New Roman" w:cs="Times New Roman" w:eastAsia="바탕"/>
                <w:b w:val="0"/>
                <w:i w:val="0"/>
                <w:sz w:val="20"/>
              </w:rPr>
              <w:t>Communicative health literacy (</w:t>
            </w:r>
            <w:r>
              <w:rPr>
                <w:rFonts w:ascii="Times New Roman" w:hAnsi="Times New Roman" w:cs="Times New Roman" w:eastAsia="바탕"/>
                <w:b w:val="0"/>
                <w:i/>
                <w:sz w:val="20"/>
              </w:rPr>
              <w:t>a</w:t>
            </w:r>
            <w:r>
              <w:rPr>
                <w:rFonts w:ascii="Times New Roman" w:hAnsi="Times New Roman" w:cs="Times New Roman" w:eastAsia="바탕"/>
                <w:b w:val="0"/>
                <w:i w:val="0"/>
                <w:sz w:val="20"/>
              </w:rPr>
              <w:t>)</w:t>
            </w:r>
          </w:p>
        </w:tc>
        <w:tc>
          <w:tcPr>
            <w:tcW w:type="dxa" w:w="1644"/>
          </w:tcPr>
          <w:p>
            <w:pPr>
              <w:keepNext/>
              <w:spacing w:before="20" w:after="20"/>
              <w:jc w:val="center"/>
            </w:pPr>
            <w:r>
              <w:rPr>
                <w:rFonts w:ascii="Times New Roman" w:hAnsi="Times New Roman" w:cs="Times New Roman" w:eastAsia="바탕"/>
                <w:b w:val="0"/>
                <w:i w:val="0"/>
                <w:sz w:val="20"/>
              </w:rPr>
              <w:t>0.023 (0.013)</w:t>
            </w:r>
          </w:p>
        </w:tc>
        <w:tc>
          <w:tcPr>
            <w:tcW w:type="dxa" w:w="1474"/>
          </w:tcPr>
          <w:p>
            <w:pPr>
              <w:keepNext/>
              <w:spacing w:before="20" w:after="20"/>
              <w:jc w:val="center"/>
            </w:pPr>
            <w:r>
              <w:rPr>
                <w:rFonts w:ascii="Times New Roman" w:hAnsi="Times New Roman" w:cs="Times New Roman" w:eastAsia="바탕"/>
                <w:b w:val="0"/>
                <w:i w:val="0"/>
                <w:sz w:val="20"/>
              </w:rPr>
              <w:t>−0.002, 0.048</w:t>
            </w:r>
          </w:p>
        </w:tc>
        <w:tc>
          <w:tcPr>
            <w:tcW w:type="dxa" w:w="1644"/>
          </w:tcPr>
          <w:p>
            <w:pPr>
              <w:keepNext/>
              <w:spacing w:before="20" w:after="20"/>
              <w:jc w:val="center"/>
            </w:pPr>
            <w:r>
              <w:rPr>
                <w:rFonts w:ascii="Times New Roman" w:hAnsi="Times New Roman" w:cs="Times New Roman" w:eastAsia="바탕"/>
                <w:b w:val="0"/>
                <w:i w:val="0"/>
                <w:sz w:val="20"/>
              </w:rPr>
              <w:t>0.018 (0.013)</w:t>
            </w:r>
          </w:p>
        </w:tc>
        <w:tc>
          <w:tcPr>
            <w:tcW w:type="dxa" w:w="1474"/>
          </w:tcPr>
          <w:p>
            <w:pPr>
              <w:keepNext/>
              <w:spacing w:before="20" w:after="20"/>
              <w:jc w:val="center"/>
            </w:pPr>
            <w:r>
              <w:rPr>
                <w:rFonts w:ascii="Times New Roman" w:hAnsi="Times New Roman" w:cs="Times New Roman" w:eastAsia="바탕"/>
                <w:b w:val="0"/>
                <w:i w:val="0"/>
                <w:sz w:val="20"/>
              </w:rPr>
              <w:t>−0.007, 0.043</w:t>
            </w:r>
          </w:p>
        </w:tc>
      </w:tr>
      <w:tr>
        <w:trPr>
          <w:cantSplit/>
        </w:trPr>
        <w:tc>
          <w:tcPr>
            <w:tcW w:type="dxa" w:w="3175"/>
          </w:tcPr>
          <w:p>
            <w:pPr>
              <w:keepNext/>
              <w:spacing w:before="20" w:after="20"/>
              <w:jc w:val="left"/>
            </w:pPr>
            <w:r>
              <w:rPr>
                <w:rFonts w:ascii="Times New Roman" w:hAnsi="Times New Roman" w:cs="Times New Roman" w:eastAsia="바탕"/>
                <w:b w:val="0"/>
                <w:i/>
                <w:sz w:val="20"/>
              </w:rPr>
              <w:t>R</w:t>
            </w:r>
            <w:r>
              <w:rPr>
                <w:rFonts w:ascii="Times New Roman" w:hAnsi="Times New Roman" w:cs="Times New Roman" w:eastAsia="바탕"/>
                <w:b w:val="0"/>
                <w:i w:val="0"/>
                <w:sz w:val="20"/>
              </w:rPr>
              <w:t>²</w:t>
            </w:r>
          </w:p>
        </w:tc>
        <w:tc>
          <w:tcPr>
            <w:tcW w:type="dxa" w:w="1644"/>
          </w:tcPr>
          <w:p>
            <w:pPr>
              <w:keepNext/>
              <w:spacing w:before="20" w:after="20"/>
              <w:jc w:val="center"/>
            </w:pPr>
            <w:r>
              <w:rPr>
                <w:rFonts w:ascii="Times New Roman" w:hAnsi="Times New Roman" w:cs="Times New Roman" w:eastAsia="바탕"/>
                <w:b w:val="0"/>
                <w:i w:val="0"/>
                <w:sz w:val="20"/>
              </w:rPr>
              <w:t>.021</w:t>
            </w:r>
          </w:p>
        </w:tc>
        <w:tc>
          <w:tcPr>
            <w:tcW w:type="dxa" w:w="1474"/>
          </w:tcPr>
          <w:p>
            <w:pPr>
              <w:keepNext/>
              <w:spacing w:before="20" w:after="20"/>
              <w:jc w:val="center"/>
            </w:pPr>
          </w:p>
        </w:tc>
        <w:tc>
          <w:tcPr>
            <w:tcW w:type="dxa" w:w="1644"/>
          </w:tcPr>
          <w:p>
            <w:pPr>
              <w:keepNext/>
              <w:spacing w:before="20" w:after="20"/>
              <w:jc w:val="center"/>
            </w:pPr>
            <w:r>
              <w:rPr>
                <w:rFonts w:ascii="Times New Roman" w:hAnsi="Times New Roman" w:cs="Times New Roman" w:eastAsia="바탕"/>
                <w:b w:val="0"/>
                <w:i w:val="0"/>
                <w:sz w:val="20"/>
              </w:rPr>
              <w:t>.077*</w:t>
            </w:r>
          </w:p>
        </w:tc>
        <w:tc>
          <w:tcPr>
            <w:tcW w:type="dxa" w:w="1474"/>
          </w:tcPr>
          <w:p>
            <w:pPr>
              <w:keepNext/>
              <w:spacing w:before="20" w:after="20"/>
              <w:jc w:val="center"/>
            </w:pPr>
          </w:p>
        </w:tc>
      </w:tr>
      <w:tr>
        <w:trPr>
          <w:cantSplit/>
        </w:trPr>
        <w:tc>
          <w:tcPr>
            <w:tcW w:type="dxa" w:w="3175"/>
          </w:tcPr>
          <w:p>
            <w:pPr>
              <w:keepNext/>
              <w:spacing w:before="20" w:after="20"/>
              <w:jc w:val="left"/>
            </w:pPr>
            <w:r>
              <w:rPr>
                <w:rFonts w:ascii="Times New Roman" w:hAnsi="Times New Roman" w:cs="Times New Roman" w:eastAsia="바탕"/>
                <w:b/>
                <w:i w:val="0"/>
                <w:sz w:val="20"/>
              </w:rPr>
              <w:t>Outcome: Physical activity self-regulation</w:t>
            </w:r>
          </w:p>
        </w:tc>
        <w:tc>
          <w:tcPr>
            <w:tcW w:type="dxa" w:w="1644"/>
          </w:tcPr>
          <w:p>
            <w:pPr>
              <w:keepNext/>
              <w:spacing w:before="20" w:after="20"/>
              <w:jc w:val="center"/>
            </w:pPr>
          </w:p>
        </w:tc>
        <w:tc>
          <w:tcPr>
            <w:tcW w:type="dxa" w:w="1474"/>
          </w:tcPr>
          <w:p>
            <w:pPr>
              <w:keepNext/>
              <w:spacing w:before="20" w:after="20"/>
              <w:jc w:val="center"/>
            </w:pPr>
          </w:p>
        </w:tc>
        <w:tc>
          <w:tcPr>
            <w:tcW w:type="dxa" w:w="1644"/>
          </w:tcPr>
          <w:p>
            <w:pPr>
              <w:keepNext/>
              <w:spacing w:before="20" w:after="20"/>
              <w:jc w:val="center"/>
            </w:pPr>
          </w:p>
        </w:tc>
        <w:tc>
          <w:tcPr>
            <w:tcW w:type="dxa" w:w="1474"/>
          </w:tcPr>
          <w:p>
            <w:pPr>
              <w:keepNext/>
              <w:spacing w:before="20" w:after="20"/>
              <w:jc w:val="center"/>
            </w:pPr>
          </w:p>
        </w:tc>
      </w:tr>
      <w:tr>
        <w:trPr>
          <w:cantSplit/>
        </w:trPr>
        <w:tc>
          <w:tcPr>
            <w:tcW w:type="dxa" w:w="3175"/>
          </w:tcPr>
          <w:p>
            <w:pPr>
              <w:keepNext/>
              <w:spacing w:before="20" w:after="20"/>
              <w:jc w:val="left"/>
            </w:pPr>
            <w:r>
              <w:rPr>
                <w:rFonts w:ascii="Times New Roman" w:hAnsi="Times New Roman" w:cs="Times New Roman" w:eastAsia="바탕"/>
                <w:b w:val="0"/>
                <w:i w:val="0"/>
                <w:sz w:val="20"/>
              </w:rPr>
              <w:t>Pain concept knowledge (</w:t>
            </w:r>
            <w:r>
              <w:rPr>
                <w:rFonts w:ascii="Times New Roman" w:hAnsi="Times New Roman" w:cs="Times New Roman" w:eastAsia="바탕"/>
                <w:b w:val="0"/>
                <w:i/>
                <w:sz w:val="20"/>
              </w:rPr>
              <w:t>b</w:t>
            </w:r>
            <w:r>
              <w:rPr>
                <w:rFonts w:ascii="Times New Roman" w:hAnsi="Times New Roman" w:cs="Times New Roman" w:eastAsia="바탕"/>
                <w:b w:val="0"/>
                <w:i w:val="0"/>
                <w:sz w:val="20"/>
              </w:rPr>
              <w:t>)</w:t>
            </w:r>
          </w:p>
        </w:tc>
        <w:tc>
          <w:tcPr>
            <w:tcW w:type="dxa" w:w="1644"/>
          </w:tcPr>
          <w:p>
            <w:pPr>
              <w:keepNext/>
              <w:spacing w:before="20" w:after="20"/>
              <w:jc w:val="center"/>
            </w:pPr>
            <w:r>
              <w:rPr>
                <w:rFonts w:ascii="Times New Roman" w:hAnsi="Times New Roman" w:cs="Times New Roman" w:eastAsia="바탕"/>
                <w:b w:val="0"/>
                <w:i w:val="0"/>
                <w:sz w:val="20"/>
              </w:rPr>
              <w:t>0.435 (0.141)**</w:t>
            </w:r>
          </w:p>
        </w:tc>
        <w:tc>
          <w:tcPr>
            <w:tcW w:type="dxa" w:w="1474"/>
          </w:tcPr>
          <w:p>
            <w:pPr>
              <w:keepNext/>
              <w:spacing w:before="20" w:after="20"/>
              <w:jc w:val="center"/>
            </w:pPr>
            <w:r>
              <w:rPr>
                <w:rFonts w:ascii="Times New Roman" w:hAnsi="Times New Roman" w:cs="Times New Roman" w:eastAsia="바탕"/>
                <w:b w:val="0"/>
                <w:i w:val="0"/>
                <w:sz w:val="20"/>
              </w:rPr>
              <w:t>0.157, 0.714</w:t>
            </w:r>
          </w:p>
        </w:tc>
        <w:tc>
          <w:tcPr>
            <w:tcW w:type="dxa" w:w="1644"/>
          </w:tcPr>
          <w:p>
            <w:pPr>
              <w:keepNext/>
              <w:spacing w:before="20" w:after="20"/>
              <w:jc w:val="center"/>
            </w:pPr>
            <w:r>
              <w:rPr>
                <w:rFonts w:ascii="Times New Roman" w:hAnsi="Times New Roman" w:cs="Times New Roman" w:eastAsia="바탕"/>
                <w:b w:val="0"/>
                <w:i w:val="0"/>
                <w:sz w:val="20"/>
              </w:rPr>
              <w:t>0.423 (0.146)**</w:t>
            </w:r>
          </w:p>
        </w:tc>
        <w:tc>
          <w:tcPr>
            <w:tcW w:type="dxa" w:w="1474"/>
          </w:tcPr>
          <w:p>
            <w:pPr>
              <w:keepNext/>
              <w:spacing w:before="20" w:after="20"/>
              <w:jc w:val="center"/>
            </w:pPr>
            <w:r>
              <w:rPr>
                <w:rFonts w:ascii="Times New Roman" w:hAnsi="Times New Roman" w:cs="Times New Roman" w:eastAsia="바탕"/>
                <w:b w:val="0"/>
                <w:i w:val="0"/>
                <w:sz w:val="20"/>
              </w:rPr>
              <w:t>0.136, 0.711</w:t>
            </w:r>
          </w:p>
        </w:tc>
      </w:tr>
      <w:tr>
        <w:trPr>
          <w:cantSplit/>
        </w:trPr>
        <w:tc>
          <w:tcPr>
            <w:tcW w:type="dxa" w:w="3175"/>
          </w:tcPr>
          <w:p>
            <w:pPr>
              <w:keepNext/>
              <w:spacing w:before="20" w:after="20"/>
              <w:jc w:val="left"/>
            </w:pPr>
            <w:r>
              <w:rPr>
                <w:rFonts w:ascii="Times New Roman" w:hAnsi="Times New Roman" w:cs="Times New Roman" w:eastAsia="바탕"/>
                <w:b w:val="0"/>
                <w:i w:val="0"/>
                <w:sz w:val="20"/>
              </w:rPr>
              <w:t>Communicative health literacy (</w:t>
            </w:r>
            <w:r>
              <w:rPr>
                <w:rFonts w:ascii="Times New Roman" w:hAnsi="Times New Roman" w:cs="Times New Roman" w:eastAsia="바탕"/>
                <w:b w:val="0"/>
                <w:i/>
                <w:sz w:val="20"/>
              </w:rPr>
              <w:t>c</w:t>
            </w:r>
            <w:r>
              <w:rPr>
                <w:rFonts w:ascii="Times New Roman" w:hAnsi="Times New Roman" w:cs="Times New Roman" w:eastAsia="바탕"/>
                <w:b w:val="0"/>
                <w:i w:val="0"/>
                <w:sz w:val="20"/>
              </w:rPr>
              <w:t>′, direct effect)</w:t>
            </w:r>
          </w:p>
        </w:tc>
        <w:tc>
          <w:tcPr>
            <w:tcW w:type="dxa" w:w="1644"/>
          </w:tcPr>
          <w:p>
            <w:pPr>
              <w:keepNext/>
              <w:spacing w:before="20" w:after="20"/>
              <w:jc w:val="center"/>
            </w:pPr>
            <w:r>
              <w:rPr>
                <w:rFonts w:ascii="Times New Roman" w:hAnsi="Times New Roman" w:cs="Times New Roman" w:eastAsia="바탕"/>
                <w:b w:val="0"/>
                <w:i w:val="0"/>
                <w:sz w:val="20"/>
              </w:rPr>
              <w:t>0.068 (0.022)**</w:t>
            </w:r>
          </w:p>
        </w:tc>
        <w:tc>
          <w:tcPr>
            <w:tcW w:type="dxa" w:w="1474"/>
          </w:tcPr>
          <w:p>
            <w:pPr>
              <w:keepNext/>
              <w:spacing w:before="20" w:after="20"/>
              <w:jc w:val="center"/>
            </w:pPr>
            <w:r>
              <w:rPr>
                <w:rFonts w:ascii="Times New Roman" w:hAnsi="Times New Roman" w:cs="Times New Roman" w:eastAsia="바탕"/>
                <w:b w:val="0"/>
                <w:i w:val="0"/>
                <w:sz w:val="20"/>
              </w:rPr>
              <w:t>0.024, 0.112</w:t>
            </w:r>
          </w:p>
        </w:tc>
        <w:tc>
          <w:tcPr>
            <w:tcW w:type="dxa" w:w="1644"/>
          </w:tcPr>
          <w:p>
            <w:pPr>
              <w:keepNext/>
              <w:spacing w:before="20" w:after="20"/>
              <w:jc w:val="center"/>
            </w:pPr>
            <w:r>
              <w:rPr>
                <w:rFonts w:ascii="Times New Roman" w:hAnsi="Times New Roman" w:cs="Times New Roman" w:eastAsia="바탕"/>
                <w:b w:val="0"/>
                <w:i w:val="0"/>
                <w:sz w:val="20"/>
              </w:rPr>
              <w:t>0.069 (0.023)**</w:t>
            </w:r>
          </w:p>
        </w:tc>
        <w:tc>
          <w:tcPr>
            <w:tcW w:type="dxa" w:w="1474"/>
          </w:tcPr>
          <w:p>
            <w:pPr>
              <w:keepNext/>
              <w:spacing w:before="20" w:after="20"/>
              <w:jc w:val="center"/>
            </w:pPr>
            <w:r>
              <w:rPr>
                <w:rFonts w:ascii="Times New Roman" w:hAnsi="Times New Roman" w:cs="Times New Roman" w:eastAsia="바탕"/>
                <w:b w:val="0"/>
                <w:i w:val="0"/>
                <w:sz w:val="20"/>
              </w:rPr>
              <w:t>0.024, 0.113</w:t>
            </w:r>
          </w:p>
        </w:tc>
      </w:tr>
      <w:tr>
        <w:trPr>
          <w:cantSplit/>
        </w:trPr>
        <w:tc>
          <w:tcPr>
            <w:tcW w:type="dxa" w:w="3175"/>
          </w:tcPr>
          <w:p>
            <w:pPr>
              <w:keepNext/>
              <w:spacing w:before="20" w:after="20"/>
              <w:jc w:val="left"/>
            </w:pPr>
            <w:r>
              <w:rPr>
                <w:rFonts w:ascii="Times New Roman" w:hAnsi="Times New Roman" w:cs="Times New Roman" w:eastAsia="바탕"/>
                <w:b w:val="0"/>
                <w:i/>
                <w:sz w:val="20"/>
              </w:rPr>
              <w:t>R</w:t>
            </w:r>
            <w:r>
              <w:rPr>
                <w:rFonts w:ascii="Times New Roman" w:hAnsi="Times New Roman" w:cs="Times New Roman" w:eastAsia="바탕"/>
                <w:b w:val="0"/>
                <w:i w:val="0"/>
                <w:sz w:val="20"/>
              </w:rPr>
              <w:t>²</w:t>
            </w:r>
          </w:p>
        </w:tc>
        <w:tc>
          <w:tcPr>
            <w:tcW w:type="dxa" w:w="1644"/>
          </w:tcPr>
          <w:p>
            <w:pPr>
              <w:keepNext/>
              <w:spacing w:before="20" w:after="20"/>
              <w:jc w:val="center"/>
            </w:pPr>
            <w:r>
              <w:rPr>
                <w:rFonts w:ascii="Times New Roman" w:hAnsi="Times New Roman" w:cs="Times New Roman" w:eastAsia="바탕"/>
                <w:b w:val="0"/>
                <w:i w:val="0"/>
                <w:sz w:val="20"/>
              </w:rPr>
              <w:t>.124***</w:t>
            </w:r>
          </w:p>
        </w:tc>
        <w:tc>
          <w:tcPr>
            <w:tcW w:type="dxa" w:w="1474"/>
          </w:tcPr>
          <w:p>
            <w:pPr>
              <w:keepNext/>
              <w:spacing w:before="20" w:after="20"/>
              <w:jc w:val="center"/>
            </w:pPr>
          </w:p>
        </w:tc>
        <w:tc>
          <w:tcPr>
            <w:tcW w:type="dxa" w:w="1644"/>
          </w:tcPr>
          <w:p>
            <w:pPr>
              <w:keepNext/>
              <w:spacing w:before="20" w:after="20"/>
              <w:jc w:val="center"/>
            </w:pPr>
            <w:r>
              <w:rPr>
                <w:rFonts w:ascii="Times New Roman" w:hAnsi="Times New Roman" w:cs="Times New Roman" w:eastAsia="바탕"/>
                <w:b w:val="0"/>
                <w:i w:val="0"/>
                <w:sz w:val="20"/>
              </w:rPr>
              <w:t>.142***</w:t>
            </w:r>
          </w:p>
        </w:tc>
        <w:tc>
          <w:tcPr>
            <w:tcW w:type="dxa" w:w="1474"/>
          </w:tcPr>
          <w:p>
            <w:pPr>
              <w:keepNext/>
              <w:spacing w:before="20" w:after="20"/>
              <w:jc w:val="center"/>
            </w:pPr>
          </w:p>
        </w:tc>
      </w:tr>
      <w:tr>
        <w:trPr>
          <w:cantSplit/>
        </w:trPr>
        <w:tc>
          <w:tcPr>
            <w:tcW w:type="dxa" w:w="3175"/>
          </w:tcPr>
          <w:p>
            <w:pPr>
              <w:keepNext/>
              <w:spacing w:before="20" w:after="20"/>
              <w:jc w:val="left"/>
            </w:pPr>
            <w:r>
              <w:rPr>
                <w:rFonts w:ascii="Times New Roman" w:hAnsi="Times New Roman" w:cs="Times New Roman" w:eastAsia="바탕"/>
                <w:b/>
                <w:i w:val="0"/>
                <w:sz w:val="20"/>
              </w:rPr>
              <w:t>Total effect (</w:t>
            </w:r>
            <w:r>
              <w:rPr>
                <w:rFonts w:ascii="Times New Roman" w:hAnsi="Times New Roman" w:cs="Times New Roman" w:eastAsia="바탕"/>
                <w:b/>
                <w:i/>
                <w:sz w:val="20"/>
              </w:rPr>
              <w:t>c</w:t>
            </w:r>
            <w:r>
              <w:rPr>
                <w:rFonts w:ascii="Times New Roman" w:hAnsi="Times New Roman" w:cs="Times New Roman" w:eastAsia="바탕"/>
                <w:b/>
                <w:i w:val="0"/>
                <w:sz w:val="20"/>
              </w:rPr>
              <w:t>)</w:t>
            </w:r>
          </w:p>
        </w:tc>
        <w:tc>
          <w:tcPr>
            <w:tcW w:type="dxa" w:w="1644"/>
          </w:tcPr>
          <w:p>
            <w:pPr>
              <w:keepNext/>
              <w:spacing w:before="20" w:after="20"/>
              <w:jc w:val="center"/>
            </w:pPr>
            <w:r>
              <w:rPr>
                <w:rFonts w:ascii="Times New Roman" w:hAnsi="Times New Roman" w:cs="Times New Roman" w:eastAsia="바탕"/>
                <w:b w:val="0"/>
                <w:i w:val="0"/>
                <w:sz w:val="20"/>
              </w:rPr>
              <w:t>0.078 (0.023)***</w:t>
            </w:r>
          </w:p>
        </w:tc>
        <w:tc>
          <w:tcPr>
            <w:tcW w:type="dxa" w:w="1474"/>
          </w:tcPr>
          <w:p>
            <w:pPr>
              <w:keepNext/>
              <w:spacing w:before="20" w:after="20"/>
              <w:jc w:val="center"/>
            </w:pPr>
            <w:r>
              <w:rPr>
                <w:rFonts w:ascii="Times New Roman" w:hAnsi="Times New Roman" w:cs="Times New Roman" w:eastAsia="바탕"/>
                <w:b w:val="0"/>
                <w:i w:val="0"/>
                <w:sz w:val="20"/>
              </w:rPr>
              <w:t>0.033, 0.123</w:t>
            </w:r>
          </w:p>
        </w:tc>
        <w:tc>
          <w:tcPr>
            <w:tcW w:type="dxa" w:w="1644"/>
          </w:tcPr>
          <w:p>
            <w:pPr>
              <w:keepNext/>
              <w:spacing w:before="20" w:after="20"/>
              <w:jc w:val="center"/>
            </w:pPr>
            <w:r>
              <w:rPr>
                <w:rFonts w:ascii="Times New Roman" w:hAnsi="Times New Roman" w:cs="Times New Roman" w:eastAsia="바탕"/>
                <w:b w:val="0"/>
                <w:i w:val="0"/>
                <w:sz w:val="20"/>
              </w:rPr>
              <w:t>0.076 (0.023)**</w:t>
            </w:r>
          </w:p>
        </w:tc>
        <w:tc>
          <w:tcPr>
            <w:tcW w:type="dxa" w:w="1474"/>
          </w:tcPr>
          <w:p>
            <w:pPr>
              <w:keepNext/>
              <w:spacing w:before="20" w:after="20"/>
              <w:jc w:val="center"/>
            </w:pPr>
            <w:r>
              <w:rPr>
                <w:rFonts w:ascii="Times New Roman" w:hAnsi="Times New Roman" w:cs="Times New Roman" w:eastAsia="바탕"/>
                <w:b w:val="0"/>
                <w:i w:val="0"/>
                <w:sz w:val="20"/>
              </w:rPr>
              <w:t>0.031, 0.122</w:t>
            </w:r>
          </w:p>
        </w:tc>
      </w:tr>
      <w:tr>
        <w:trPr>
          <w:cantSplit/>
        </w:trPr>
        <w:tc>
          <w:tcPr>
            <w:tcW w:type="dxa" w:w="3175"/>
          </w:tcPr>
          <w:p>
            <w:pPr>
              <w:keepNext/>
              <w:spacing w:before="20" w:after="20"/>
              <w:jc w:val="left"/>
            </w:pPr>
            <w:r>
              <w:rPr>
                <w:rFonts w:ascii="Times New Roman" w:hAnsi="Times New Roman" w:cs="Times New Roman" w:eastAsia="바탕"/>
                <w:b w:val="0"/>
                <w:i/>
                <w:sz w:val="20"/>
              </w:rPr>
              <w:t>R</w:t>
            </w:r>
            <w:r>
              <w:rPr>
                <w:rFonts w:ascii="Times New Roman" w:hAnsi="Times New Roman" w:cs="Times New Roman" w:eastAsia="바탕"/>
                <w:b w:val="0"/>
                <w:i w:val="0"/>
                <w:sz w:val="20"/>
              </w:rPr>
              <w:t>²</w:t>
            </w:r>
          </w:p>
        </w:tc>
        <w:tc>
          <w:tcPr>
            <w:tcW w:type="dxa" w:w="1644"/>
          </w:tcPr>
          <w:p>
            <w:pPr>
              <w:keepNext/>
              <w:spacing w:before="20" w:after="20"/>
              <w:jc w:val="center"/>
            </w:pPr>
            <w:r>
              <w:rPr>
                <w:rFonts w:ascii="Times New Roman" w:hAnsi="Times New Roman" w:cs="Times New Roman" w:eastAsia="바탕"/>
                <w:b w:val="0"/>
                <w:i w:val="0"/>
                <w:sz w:val="20"/>
              </w:rPr>
              <w:t>.071***</w:t>
            </w:r>
          </w:p>
        </w:tc>
        <w:tc>
          <w:tcPr>
            <w:tcW w:type="dxa" w:w="1474"/>
          </w:tcPr>
          <w:p>
            <w:pPr>
              <w:keepNext/>
              <w:spacing w:before="20" w:after="20"/>
              <w:jc w:val="center"/>
            </w:pPr>
          </w:p>
        </w:tc>
        <w:tc>
          <w:tcPr>
            <w:tcW w:type="dxa" w:w="1644"/>
          </w:tcPr>
          <w:p>
            <w:pPr>
              <w:keepNext/>
              <w:spacing w:before="20" w:after="20"/>
              <w:jc w:val="center"/>
            </w:pPr>
            <w:r>
              <w:rPr>
                <w:rFonts w:ascii="Times New Roman" w:hAnsi="Times New Roman" w:cs="Times New Roman" w:eastAsia="바탕"/>
                <w:b w:val="0"/>
                <w:i w:val="0"/>
                <w:sz w:val="20"/>
              </w:rPr>
              <w:t>.094**</w:t>
            </w:r>
          </w:p>
        </w:tc>
        <w:tc>
          <w:tcPr>
            <w:tcW w:type="dxa" w:w="1474"/>
          </w:tcPr>
          <w:p>
            <w:pPr>
              <w:keepNext/>
              <w:spacing w:before="20" w:after="20"/>
              <w:jc w:val="center"/>
            </w:pPr>
          </w:p>
        </w:tc>
      </w:tr>
      <w:tr>
        <w:trPr>
          <w:cantSplit/>
        </w:trPr>
        <w:tc>
          <w:tcPr>
            <w:tcW w:type="dxa" w:w="3175"/>
            <w:tcBorders>
              <w:bottom w:val="single" w:sz="12" w:color="000000"/>
            </w:tcBorders>
          </w:tcPr>
          <w:p>
            <w:pPr>
              <w:keepNext/>
              <w:spacing w:before="20" w:after="20"/>
              <w:jc w:val="left"/>
            </w:pPr>
            <w:r>
              <w:rPr>
                <w:rFonts w:ascii="Times New Roman" w:hAnsi="Times New Roman" w:cs="Times New Roman" w:eastAsia="바탕"/>
                <w:b/>
                <w:i w:val="0"/>
                <w:sz w:val="20"/>
              </w:rPr>
              <w:t>Indirect effect (</w:t>
            </w:r>
            <w:r>
              <w:rPr>
                <w:rFonts w:ascii="Times New Roman" w:hAnsi="Times New Roman" w:cs="Times New Roman" w:eastAsia="바탕"/>
                <w:b/>
                <w:i/>
                <w:sz w:val="20"/>
              </w:rPr>
              <w:t>a</w:t>
            </w:r>
            <w:r>
              <w:rPr>
                <w:rFonts w:ascii="Times New Roman" w:hAnsi="Times New Roman" w:cs="Times New Roman" w:eastAsia="바탕"/>
                <w:b/>
                <w:i w:val="0"/>
                <w:sz w:val="20"/>
              </w:rPr>
              <w:t xml:space="preserve"> × </w:t>
            </w:r>
            <w:r>
              <w:rPr>
                <w:rFonts w:ascii="Times New Roman" w:hAnsi="Times New Roman" w:cs="Times New Roman" w:eastAsia="바탕"/>
                <w:b/>
                <w:i/>
                <w:sz w:val="20"/>
              </w:rPr>
              <w:t>b</w:t>
            </w:r>
            <w:r>
              <w:rPr>
                <w:rFonts w:ascii="Times New Roman" w:hAnsi="Times New Roman" w:cs="Times New Roman" w:eastAsia="바탕"/>
                <w:b/>
                <w:i w:val="0"/>
                <w:sz w:val="20"/>
              </w:rPr>
              <w:t>)</w:t>
            </w:r>
            <w:r>
              <w:rPr>
                <w:rFonts w:ascii="Times New Roman" w:hAnsi="Times New Roman" w:cs="Times New Roman" w:eastAsia="바탕"/>
                <w:b/>
                <w:i w:val="0"/>
                <w:sz w:val="20"/>
                <w:vertAlign w:val="superscript"/>
              </w:rPr>
              <w:t>c</w:t>
            </w:r>
          </w:p>
        </w:tc>
        <w:tc>
          <w:tcPr>
            <w:tcW w:type="dxa" w:w="1644"/>
            <w:tcBorders>
              <w:bottom w:val="single" w:sz="12" w:color="000000"/>
            </w:tcBorders>
          </w:tcPr>
          <w:p>
            <w:pPr>
              <w:keepNext/>
              <w:spacing w:before="20" w:after="20"/>
              <w:jc w:val="center"/>
            </w:pPr>
            <w:r>
              <w:rPr>
                <w:rFonts w:ascii="Times New Roman" w:hAnsi="Times New Roman" w:cs="Times New Roman" w:eastAsia="바탕"/>
                <w:b w:val="0"/>
                <w:i w:val="0"/>
                <w:sz w:val="20"/>
              </w:rPr>
              <w:t>0.010 (0.006)</w:t>
            </w:r>
          </w:p>
        </w:tc>
        <w:tc>
          <w:tcPr>
            <w:tcW w:type="dxa" w:w="1474"/>
            <w:tcBorders>
              <w:bottom w:val="single" w:sz="12" w:color="000000"/>
            </w:tcBorders>
          </w:tcPr>
          <w:p>
            <w:pPr>
              <w:keepNext/>
              <w:spacing w:before="20" w:after="20"/>
              <w:jc w:val="center"/>
            </w:pPr>
            <w:r>
              <w:rPr>
                <w:rFonts w:ascii="Times New Roman" w:hAnsi="Times New Roman" w:cs="Times New Roman" w:eastAsia="바탕"/>
                <w:b w:val="0"/>
                <w:i w:val="0"/>
                <w:sz w:val="20"/>
              </w:rPr>
              <w:t>0.0005, 0.024</w:t>
            </w:r>
          </w:p>
        </w:tc>
        <w:tc>
          <w:tcPr>
            <w:tcW w:type="dxa" w:w="1644"/>
            <w:tcBorders>
              <w:bottom w:val="single" w:sz="12" w:color="000000"/>
            </w:tcBorders>
          </w:tcPr>
          <w:p>
            <w:pPr>
              <w:keepNext/>
              <w:spacing w:before="20" w:after="20"/>
              <w:jc w:val="center"/>
            </w:pPr>
            <w:r>
              <w:rPr>
                <w:rFonts w:ascii="Times New Roman" w:hAnsi="Times New Roman" w:cs="Times New Roman" w:eastAsia="바탕"/>
                <w:b w:val="0"/>
                <w:i w:val="0"/>
                <w:sz w:val="20"/>
              </w:rPr>
              <w:t>0.008 (0.006)</w:t>
            </w:r>
          </w:p>
        </w:tc>
        <w:tc>
          <w:tcPr>
            <w:tcW w:type="dxa" w:w="1474"/>
            <w:tcBorders>
              <w:bottom w:val="single" w:sz="12" w:color="000000"/>
            </w:tcBorders>
          </w:tcPr>
          <w:p>
            <w:pPr>
              <w:keepNext/>
              <w:spacing w:before="20" w:after="20"/>
              <w:jc w:val="center"/>
            </w:pPr>
            <w:r>
              <w:rPr>
                <w:rFonts w:ascii="Times New Roman" w:hAnsi="Times New Roman" w:cs="Times New Roman" w:eastAsia="바탕"/>
                <w:b w:val="0"/>
                <w:i w:val="0"/>
                <w:sz w:val="20"/>
              </w:rPr>
              <w:t>−0.002, 0.021</w:t>
            </w:r>
          </w:p>
        </w:tc>
      </w:tr>
    </w:tbl>
    <w:p>
      <w:pPr>
        <w:keepNext w:val="0"/>
        <w:spacing w:line="240" w:lineRule="auto" w:before="80" w:after="360"/>
        <w:jc w:val="left"/>
      </w:pPr>
      <w:r>
        <w:rPr>
          <w:rFonts w:ascii="Times New Roman" w:hAnsi="Times New Roman" w:cs="Times New Roman" w:eastAsia="바탕"/>
          <w:b w:val="0"/>
          <w:i/>
          <w:sz w:val="20"/>
        </w:rPr>
        <w:t>Note.</w:t>
      </w:r>
      <w:r>
        <w:rPr>
          <w:rFonts w:ascii="Times New Roman" w:hAnsi="Times New Roman" w:cs="Times New Roman" w:eastAsia="바탕"/>
          <w:b w:val="0"/>
          <w:i w:val="0"/>
          <w:sz w:val="20"/>
        </w:rPr>
        <w:t xml:space="preserve"> </w:t>
      </w:r>
      <w:r>
        <w:rPr>
          <w:rFonts w:ascii="Times New Roman" w:hAnsi="Times New Roman" w:cs="Times New Roman" w:eastAsia="바탕"/>
          <w:b w:val="0"/>
          <w:i/>
          <w:sz w:val="20"/>
        </w:rPr>
        <w:t>B</w:t>
      </w:r>
      <w:r>
        <w:rPr>
          <w:rFonts w:ascii="Times New Roman" w:hAnsi="Times New Roman" w:cs="Times New Roman" w:eastAsia="바탕"/>
          <w:b w:val="0"/>
          <w:i w:val="0"/>
          <w:sz w:val="20"/>
        </w:rPr>
        <w:t xml:space="preserve"> = unstandardized coefficient; CI = confidence interval. </w:t>
      </w:r>
      <w:r>
        <w:rPr>
          <w:rFonts w:ascii="Times New Roman" w:hAnsi="Times New Roman" w:cs="Times New Roman" w:eastAsia="바탕"/>
          <w:b w:val="0"/>
          <w:i w:val="0"/>
          <w:sz w:val="20"/>
          <w:vertAlign w:val="superscript"/>
        </w:rPr>
        <w:t>a</w:t>
      </w:r>
      <w:r>
        <w:rPr>
          <w:rFonts w:ascii="Times New Roman" w:hAnsi="Times New Roman" w:cs="Times New Roman" w:eastAsia="바탕"/>
          <w:b w:val="0"/>
          <w:i w:val="0"/>
          <w:sz w:val="20"/>
        </w:rPr>
        <w:t xml:space="preserve">No covariates. </w:t>
      </w:r>
      <w:r>
        <w:rPr>
          <w:rFonts w:ascii="Times New Roman" w:hAnsi="Times New Roman" w:cs="Times New Roman" w:eastAsia="바탕"/>
          <w:b w:val="0"/>
          <w:i w:val="0"/>
          <w:sz w:val="20"/>
          <w:vertAlign w:val="superscript"/>
        </w:rPr>
        <w:t>b</w:t>
      </w:r>
      <w:r>
        <w:rPr>
          <w:rFonts w:ascii="Times New Roman" w:hAnsi="Times New Roman" w:cs="Times New Roman" w:eastAsia="바탕"/>
          <w:b w:val="0"/>
          <w:i w:val="0"/>
          <w:sz w:val="20"/>
        </w:rPr>
        <w:t>Sex (reference: men), age (continuous), and pain frequency over the past 6 months (reference: &lt; 3 months) were entered as covariates in the models for the mediator and the outcome. None of the covariates was significant in any model (</w:t>
      </w:r>
      <w:r>
        <w:rPr>
          <w:rFonts w:ascii="Times New Roman" w:hAnsi="Times New Roman" w:cs="Times New Roman" w:eastAsia="바탕"/>
          <w:b w:val="0"/>
          <w:i/>
          <w:sz w:val="20"/>
        </w:rPr>
        <w:t>p</w:t>
      </w:r>
      <w:r>
        <w:rPr>
          <w:rFonts w:ascii="Times New Roman" w:hAnsi="Times New Roman" w:cs="Times New Roman" w:eastAsia="바탕"/>
          <w:b w:val="0"/>
          <w:i w:val="0"/>
          <w:sz w:val="20"/>
        </w:rPr>
        <w:t xml:space="preserve"> &gt; .05). </w:t>
      </w:r>
      <w:r>
        <w:rPr>
          <w:rFonts w:ascii="Times New Roman" w:hAnsi="Times New Roman" w:cs="Times New Roman" w:eastAsia="바탕"/>
          <w:b w:val="0"/>
          <w:i w:val="0"/>
          <w:sz w:val="20"/>
          <w:vertAlign w:val="superscript"/>
        </w:rPr>
        <w:t>c</w:t>
      </w:r>
      <w:r>
        <w:rPr>
          <w:rFonts w:ascii="Times New Roman" w:hAnsi="Times New Roman" w:cs="Times New Roman" w:eastAsia="바탕"/>
          <w:b w:val="0"/>
          <w:i w:val="0"/>
          <w:sz w:val="20"/>
        </w:rPr>
        <w:t xml:space="preserve">The </w:t>
      </w:r>
      <w:r>
        <w:rPr>
          <w:rFonts w:ascii="Times New Roman" w:hAnsi="Times New Roman" w:cs="Times New Roman" w:eastAsia="바탕"/>
          <w:b w:val="0"/>
          <w:i/>
          <w:sz w:val="20"/>
        </w:rPr>
        <w:t>SE</w:t>
      </w:r>
      <w:r>
        <w:rPr>
          <w:rFonts w:ascii="Times New Roman" w:hAnsi="Times New Roman" w:cs="Times New Roman" w:eastAsia="바탕"/>
          <w:b w:val="0"/>
          <w:i w:val="0"/>
          <w:sz w:val="20"/>
        </w:rPr>
        <w:t xml:space="preserve"> of the indirect effect is the bootstrap standard error, and the 95% CI is a percentile bootstrap CI based on 5,000 bootstrap samples. *</w:t>
      </w:r>
      <w:r>
        <w:rPr>
          <w:rFonts w:ascii="Times New Roman" w:hAnsi="Times New Roman" w:cs="Times New Roman" w:eastAsia="바탕"/>
          <w:b w:val="0"/>
          <w:i/>
          <w:sz w:val="20"/>
        </w:rPr>
        <w:t>p</w:t>
      </w:r>
      <w:r>
        <w:rPr>
          <w:rFonts w:ascii="Times New Roman" w:hAnsi="Times New Roman" w:cs="Times New Roman" w:eastAsia="바탕"/>
          <w:b w:val="0"/>
          <w:i w:val="0"/>
          <w:sz w:val="20"/>
        </w:rPr>
        <w:t xml:space="preserve"> &lt; .05, **</w:t>
      </w:r>
      <w:r>
        <w:rPr>
          <w:rFonts w:ascii="Times New Roman" w:hAnsi="Times New Roman" w:cs="Times New Roman" w:eastAsia="바탕"/>
          <w:b w:val="0"/>
          <w:i/>
          <w:sz w:val="20"/>
        </w:rPr>
        <w:t>p</w:t>
      </w:r>
      <w:r>
        <w:rPr>
          <w:rFonts w:ascii="Times New Roman" w:hAnsi="Times New Roman" w:cs="Times New Roman" w:eastAsia="바탕"/>
          <w:b w:val="0"/>
          <w:i w:val="0"/>
          <w:sz w:val="20"/>
        </w:rPr>
        <w:t xml:space="preserve"> &lt; .01, ***</w:t>
      </w:r>
      <w:r>
        <w:rPr>
          <w:rFonts w:ascii="Times New Roman" w:hAnsi="Times New Roman" w:cs="Times New Roman" w:eastAsia="바탕"/>
          <w:b w:val="0"/>
          <w:i/>
          <w:sz w:val="20"/>
        </w:rPr>
        <w:t>p</w:t>
      </w:r>
      <w:r>
        <w:rPr>
          <w:rFonts w:ascii="Times New Roman" w:hAnsi="Times New Roman" w:cs="Times New Roman" w:eastAsia="바탕"/>
          <w:b w:val="0"/>
          <w:i w:val="0"/>
          <w:sz w:val="20"/>
        </w:rPr>
        <w:t xml:space="preserve"> &lt; .001.</w:t>
      </w:r>
    </w:p>
    <w:p>
      <w:r>
        <w:br w:type="page"/>
      </w:r>
    </w:p>
    <w:p>
      <w:pPr>
        <w:keepNext/>
        <w:spacing w:before="120"/>
        <w:jc w:val="center"/>
      </w:pPr>
      <w:r xmlns:a="http://schemas.openxmlformats.org/drawingml/2006/main">
        <mc:AlternateContent>
          <mc:Choice Requires="wpg">
            <w:drawing>
              <wp:inline distT="0" distB="0" distL="0" distR="0">
                <wp:extent cx="5580000" cy="2046000"/>
                <wp:effectExtent l="0" t="0" r="0" b="0"/>
                <wp:docPr id="611" name="Figure 2"/>
                <wp:cNvGraphicFramePr/>
                <a:graphic>
                  <a:graphicData uri="http://schemas.microsoft.com/office/word/2010/wordprocessingGroup">
                    <wpg:wgp>
                      <wpg:cNvGrpSpPr/>
                      <wpg:grpSpPr>
                        <a:xfrm>
                          <a:off x="0" y="0"/>
                          <a:ext cx="5580000" cy="2046000"/>
                          <a:chOff x="0" y="0"/>
                          <a:chExt cx="5580000" cy="2046000"/>
                        </a:xfrm>
                      </wpg:grpSpPr>
                      <wps:wsp>
                        <wps:cNvPr id="601" name="Text 601"/>
                        <wps:cNvSpPr txBox="1"/>
                        <wps:spPr>
                          <a:xfrm>
                            <a:off x="62000" y="1426000"/>
                            <a:ext cx="1984000" cy="434000"/>
                          </a:xfrm>
                          <a:prstGeom prst="rect">
                            <a:avLst/>
                          </a:prstGeom>
                          <a:solidFill>
                            <a:srgbClr val="FFFFFF"/>
                          </a:solidFill>
                          <a:ln w="19050">
                            <a:solidFill>
                              <a:srgbClr val="000000"/>
                            </a:solidFill>
                          </a:ln>
                        </wps:spPr>
                        <wps:txbx>
                          <w:txbxContent>
                            <w:p>
                              <w:pPr>
                                <w:spacing w:before="0" w:after="0" w:line="240" w:lineRule="auto"/>
                                <w:jc w:val="center"/>
                              </w:pPr>
                              <w:r>
                                <w:rPr>
                                  <w:rFonts w:ascii="Times New Roman" w:hAnsi="Times New Roman" w:cs="Times New Roman" w:eastAsia="바탕"/>
                                  <w:b/>
                                  <w:sz w:val="20"/>
                                  <w:szCs w:val="20"/>
                                </w:rPr>
                                <w:t xml:space="preserve">Communicative health literacy</w:t>
                              </w:r>
                            </w:p>
                          </w:txbxContent>
                        </wps:txbx>
                        <wps:bodyPr rot="0" vert="horz" wrap="square" lIns="36000" tIns="18000" rIns="36000" bIns="18000" anchor="ctr" anchorCtr="0">
                          <a:noAutofit/>
                        </wps:bodyPr>
                      </wps:wsp>
                      <wps:wsp>
                        <wps:cNvPr id="602" name="Text 602"/>
                        <wps:cNvSpPr txBox="1"/>
                        <wps:spPr>
                          <a:xfrm>
                            <a:off x="1798000" y="186000"/>
                            <a:ext cx="1984000" cy="434000"/>
                          </a:xfrm>
                          <a:prstGeom prst="rect">
                            <a:avLst/>
                          </a:prstGeom>
                          <a:solidFill>
                            <a:srgbClr val="FFFFFF"/>
                          </a:solidFill>
                          <a:ln w="19050">
                            <a:solidFill>
                              <a:srgbClr val="000000"/>
                            </a:solidFill>
                          </a:ln>
                        </wps:spPr>
                        <wps:txbx>
                          <w:txbxContent>
                            <w:p>
                              <w:pPr>
                                <w:spacing w:before="0" w:after="0" w:line="240" w:lineRule="auto"/>
                                <w:jc w:val="center"/>
                              </w:pPr>
                              <w:r>
                                <w:rPr>
                                  <w:rFonts w:ascii="Times New Roman" w:hAnsi="Times New Roman" w:cs="Times New Roman" w:eastAsia="바탕"/>
                                  <w:b/>
                                  <w:sz w:val="20"/>
                                  <w:szCs w:val="20"/>
                                </w:rPr>
                                <w:t xml:space="preserve">Pain concept knowledge</w:t>
                              </w:r>
                            </w:p>
                          </w:txbxContent>
                        </wps:txbx>
                        <wps:bodyPr rot="0" vert="horz" wrap="square" lIns="36000" tIns="18000" rIns="36000" bIns="18000" anchor="ctr" anchorCtr="0">
                          <a:noAutofit/>
                        </wps:bodyPr>
                      </wps:wsp>
                      <wps:wsp>
                        <wps:cNvPr id="603" name="Text 603"/>
                        <wps:cNvSpPr txBox="1"/>
                        <wps:spPr>
                          <a:xfrm>
                            <a:off x="3534000" y="1426000"/>
                            <a:ext cx="1984000" cy="434000"/>
                          </a:xfrm>
                          <a:prstGeom prst="rect">
                            <a:avLst/>
                          </a:prstGeom>
                          <a:solidFill>
                            <a:srgbClr val="FFFFFF"/>
                          </a:solidFill>
                          <a:ln w="19050">
                            <a:solidFill>
                              <a:srgbClr val="000000"/>
                            </a:solidFill>
                          </a:ln>
                        </wps:spPr>
                        <wps:txbx>
                          <w:txbxContent>
                            <w:p>
                              <w:pPr>
                                <w:spacing w:before="0" w:after="0" w:line="240" w:lineRule="auto"/>
                                <w:jc w:val="center"/>
                              </w:pPr>
                              <w:r>
                                <w:rPr>
                                  <w:rFonts w:ascii="Times New Roman" w:hAnsi="Times New Roman" w:cs="Times New Roman" w:eastAsia="바탕"/>
                                  <w:b/>
                                  <w:sz w:val="20"/>
                                  <w:szCs w:val="20"/>
                                </w:rPr>
                                <w:t xml:space="preserve">Physical activity self-regulation</w:t>
                              </w:r>
                            </w:p>
                          </w:txbxContent>
                        </wps:txbx>
                        <wps:bodyPr rot="0" vert="horz" wrap="square" lIns="36000" tIns="18000" rIns="36000" bIns="18000" anchor="ctr" anchorCtr="0">
                          <a:noAutofit/>
                        </wps:bodyPr>
                      </wps:wsp>
                      <wps:wsp>
                        <wps:cNvPr id="604" name="Arrow 604"/>
                        <wps:cNvCnPr/>
                        <wps:spPr>
                          <a:xfrm flipV="1">
                            <a:off x="1178000" y="632400"/>
                            <a:ext cx="1054000" cy="793600"/>
                          </a:xfrm>
                          <a:prstGeom prst="straightConnector1">
                            <a:avLst/>
                          </a:prstGeom>
                          <a:ln w="19050">
                            <a:solidFill>
                              <a:srgbClr val="000000"/>
                            </a:solidFill>
                            <a:tailEnd type="triangle" w="med" len="med"/>
                          </a:ln>
                        </wps:spPr>
                        <wps:bodyPr/>
                      </wps:wsp>
                      <wps:wsp>
                        <wps:cNvPr id="605" name="Arrow 605"/>
                        <wps:cNvCnPr/>
                        <wps:spPr>
                          <a:xfrm>
                            <a:off x="3348000" y="632400"/>
                            <a:ext cx="1054000" cy="781200"/>
                          </a:xfrm>
                          <a:prstGeom prst="straightConnector1">
                            <a:avLst/>
                          </a:prstGeom>
                          <a:ln w="19050">
                            <a:solidFill>
                              <a:srgbClr val="000000"/>
                            </a:solidFill>
                            <a:tailEnd type="triangle" w="med" len="med"/>
                          </a:ln>
                        </wps:spPr>
                        <wps:bodyPr/>
                      </wps:wsp>
                      <wps:wsp>
                        <wps:cNvPr id="606" name="Arrow 606"/>
                        <wps:cNvCnPr/>
                        <wps:spPr>
                          <a:xfrm>
                            <a:off x="2046000" y="1643000"/>
                            <a:ext cx="1488000" cy="0"/>
                          </a:xfrm>
                          <a:prstGeom prst="straightConnector1">
                            <a:avLst/>
                          </a:prstGeom>
                          <a:ln w="19050">
                            <a:solidFill>
                              <a:srgbClr val="000000"/>
                            </a:solidFill>
                            <a:tailEnd type="triangle" w="med" len="med"/>
                          </a:ln>
                        </wps:spPr>
                        <wps:bodyPr/>
                      </wps:wsp>
                      <wps:wsp>
                        <wps:cNvPr id="607" name="Text 607"/>
                        <wps:cNvSpPr txBox="1"/>
                        <wps:spPr>
                          <a:xfrm>
                            <a:off x="341000" y="818400"/>
                            <a:ext cx="1674000" cy="210800"/>
                          </a:xfrm>
                          <a:prstGeom prst="rect">
                            <a:avLst/>
                          </a:prstGeom>
                          <a:noFill/>
                          <a:ln>
                            <a:noFill/>
                          </a:ln>
                        </wps:spPr>
                        <wps:txbx>
                          <w:txbxContent>
                            <w:p>
                              <w:pPr>
                                <w:spacing w:before="0" w:after="0" w:line="240" w:lineRule="auto"/>
                                <w:jc w:val="center"/>
                              </w:pPr>
                              <w:r>
                                <w:rPr>
                                  <w:rFonts w:ascii="Times New Roman" w:hAnsi="Times New Roman" w:cs="Times New Roman" w:eastAsia="바탕"/>
                                  <w:i/>
                                  <w:sz w:val="19"/>
                                  <w:szCs w:val="19"/>
                                </w:rPr>
                                <w:t xml:space="preserve">a</w:t>
                              </w:r>
                              <w:r>
                                <w:rPr>
                                  <w:rFonts w:ascii="Times New Roman" w:hAnsi="Times New Roman" w:cs="Times New Roman" w:eastAsia="바탕"/>
                                  <w:sz w:val="19"/>
                                  <w:szCs w:val="19"/>
                                </w:rPr>
                                <w:t xml:space="preserve"> = .023 (.018)</w:t>
                              </w:r>
                            </w:p>
                          </w:txbxContent>
                        </wps:txbx>
                        <wps:bodyPr rot="0" vert="horz" wrap="square" lIns="36000" tIns="18000" rIns="36000" bIns="18000" anchor="ctr" anchorCtr="0">
                          <a:noAutofit/>
                        </wps:bodyPr>
                      </wps:wsp>
                      <wps:wsp>
                        <wps:cNvPr id="608" name="Text 608"/>
                        <wps:cNvSpPr txBox="1"/>
                        <wps:spPr>
                          <a:xfrm>
                            <a:off x="3565000" y="818400"/>
                            <a:ext cx="1674000" cy="210800"/>
                          </a:xfrm>
                          <a:prstGeom prst="rect">
                            <a:avLst/>
                          </a:prstGeom>
                          <a:noFill/>
                          <a:ln>
                            <a:noFill/>
                          </a:ln>
                        </wps:spPr>
                        <wps:txbx>
                          <w:txbxContent>
                            <w:p>
                              <w:pPr>
                                <w:spacing w:before="0" w:after="0" w:line="240" w:lineRule="auto"/>
                                <w:jc w:val="center"/>
                              </w:pPr>
                              <w:r>
                                <w:rPr>
                                  <w:rFonts w:ascii="Times New Roman" w:hAnsi="Times New Roman" w:cs="Times New Roman" w:eastAsia="바탕"/>
                                  <w:i/>
                                  <w:sz w:val="19"/>
                                  <w:szCs w:val="19"/>
                                </w:rPr>
                                <w:t xml:space="preserve">b</w:t>
                              </w:r>
                              <w:r>
                                <w:rPr>
                                  <w:rFonts w:ascii="Times New Roman" w:hAnsi="Times New Roman" w:cs="Times New Roman" w:eastAsia="바탕"/>
                                  <w:sz w:val="19"/>
                                  <w:szCs w:val="19"/>
                                </w:rPr>
                                <w:t xml:space="preserve"> = .435** (.423**)</w:t>
                              </w:r>
                            </w:p>
                          </w:txbxContent>
                        </wps:txbx>
                        <wps:bodyPr rot="0" vert="horz" wrap="square" lIns="36000" tIns="18000" rIns="36000" bIns="18000" anchor="ctr" anchorCtr="0">
                          <a:noAutofit/>
                        </wps:bodyPr>
                      </wps:wsp>
                      <wps:wsp>
                        <wps:cNvPr id="609" name="Text 609"/>
                        <wps:cNvSpPr txBox="1"/>
                        <wps:spPr>
                          <a:xfrm>
                            <a:off x="2046000" y="1419800"/>
                            <a:ext cx="1488000" cy="210800"/>
                          </a:xfrm>
                          <a:prstGeom prst="rect">
                            <a:avLst/>
                          </a:prstGeom>
                          <a:noFill/>
                          <a:ln>
                            <a:noFill/>
                          </a:ln>
                        </wps:spPr>
                        <wps:txbx>
                          <w:txbxContent>
                            <w:p>
                              <w:pPr>
                                <w:spacing w:before="0" w:after="0" w:line="240" w:lineRule="auto"/>
                                <w:jc w:val="center"/>
                              </w:pPr>
                              <w:r>
                                <w:rPr>
                                  <w:rFonts w:ascii="Times New Roman" w:hAnsi="Times New Roman" w:cs="Times New Roman" w:eastAsia="바탕"/>
                                  <w:i/>
                                  <w:sz w:val="19"/>
                                  <w:szCs w:val="19"/>
                                </w:rPr>
                                <w:t xml:space="preserve">c</w:t>
                              </w:r>
                              <w:r>
                                <w:rPr>
                                  <w:rFonts w:ascii="Times New Roman" w:hAnsi="Times New Roman" w:cs="Times New Roman" w:eastAsia="바탕"/>
                                  <w:sz w:val="19"/>
                                  <w:szCs w:val="19"/>
                                </w:rPr>
                                <w:t xml:space="preserve">′ = .068** (.069**)</w:t>
                              </w:r>
                            </w:p>
                          </w:txbxContent>
                        </wps:txbx>
                        <wps:bodyPr rot="0" vert="horz" wrap="square" lIns="36000" tIns="18000" rIns="36000" bIns="18000" anchor="ctr" anchorCtr="0">
                          <a:noAutofit/>
                        </wps:bodyPr>
                      </wps:wsp>
                      <wps:wsp>
                        <wps:cNvPr id="610" name="Text 610"/>
                        <wps:cNvSpPr txBox="1"/>
                        <wps:spPr>
                          <a:xfrm>
                            <a:off x="2046000" y="1661600"/>
                            <a:ext cx="1488000" cy="210800"/>
                          </a:xfrm>
                          <a:prstGeom prst="rect">
                            <a:avLst/>
                          </a:prstGeom>
                          <a:noFill/>
                          <a:ln>
                            <a:noFill/>
                          </a:ln>
                        </wps:spPr>
                        <wps:txbx>
                          <w:txbxContent>
                            <w:p>
                              <w:pPr>
                                <w:spacing w:before="0" w:after="0" w:line="240" w:lineRule="auto"/>
                                <w:jc w:val="center"/>
                              </w:pPr>
                              <w:r>
                                <w:rPr>
                                  <w:rFonts w:ascii="Times New Roman" w:hAnsi="Times New Roman" w:cs="Times New Roman" w:eastAsia="바탕"/>
                                  <w:i/>
                                  <w:sz w:val="19"/>
                                  <w:szCs w:val="19"/>
                                </w:rPr>
                                <w:t xml:space="preserve">c</w:t>
                              </w:r>
                              <w:r>
                                <w:rPr>
                                  <w:rFonts w:ascii="Times New Roman" w:hAnsi="Times New Roman" w:cs="Times New Roman" w:eastAsia="바탕"/>
                                  <w:sz w:val="19"/>
                                  <w:szCs w:val="19"/>
                                </w:rPr>
                                <w:t xml:space="preserve"> = .078*** (.076**)</w:t>
                              </w:r>
                            </w:p>
                          </w:txbxContent>
                        </wps:txbx>
                        <wps:bodyPr rot="0" vert="horz" wrap="square" lIns="36000" tIns="18000" rIns="36000" bIns="18000" anchor="ctr" anchorCtr="0">
                          <a:noAutofit/>
                        </wps:bodyPr>
                      </wps:wsp>
                    </wpg:wgp>
                  </a:graphicData>
                </a:graphic>
              </wp:inline>
            </w:drawing>
          </mc:Choice>
        </mc:AlternateContent>
      </w:r>
    </w:p>
    <w:p>
      <w:pPr>
        <w:keepNext/>
        <w:spacing w:line="240" w:lineRule="auto" w:before="0" w:after="0"/>
        <w:jc w:val="left"/>
      </w:pPr>
      <w:r>
        <w:rPr>
          <w:rFonts w:ascii="Times New Roman" w:hAnsi="Times New Roman" w:cs="Times New Roman" w:eastAsia="바탕"/>
          <w:b/>
          <w:i/>
          <w:sz w:val="20"/>
        </w:rPr>
        <w:t>Figure 2.</w:t>
      </w:r>
      <w:r>
        <w:rPr>
          <w:rFonts w:ascii="Times New Roman" w:hAnsi="Times New Roman" w:cs="Times New Roman" w:eastAsia="바탕"/>
          <w:b w:val="0"/>
          <w:i w:val="0"/>
          <w:sz w:val="20"/>
        </w:rPr>
        <w:t xml:space="preserve"> Results of the mediation model</w:t>
      </w:r>
    </w:p>
    <w:p>
      <w:pPr>
        <w:keepNext w:val="0"/>
        <w:spacing w:line="240" w:lineRule="auto" w:before="0" w:after="120"/>
        <w:jc w:val="left"/>
      </w:pPr>
      <w:r>
        <w:rPr>
          <w:rFonts w:ascii="Times New Roman" w:hAnsi="Times New Roman" w:cs="Times New Roman" w:eastAsia="바탕"/>
          <w:b w:val="0"/>
          <w:i/>
          <w:sz w:val="20"/>
        </w:rPr>
        <w:t>Note.</w:t>
      </w:r>
      <w:r>
        <w:rPr>
          <w:rFonts w:ascii="Times New Roman" w:hAnsi="Times New Roman" w:cs="Times New Roman" w:eastAsia="바탕"/>
          <w:b w:val="0"/>
          <w:i w:val="0"/>
          <w:sz w:val="20"/>
        </w:rPr>
        <w:t xml:space="preserve"> Unstandardized coefficients. Values outside parentheses are from Model 1 (no covariates); values in parentheses are from Model 2 (adjusted for sex, age, and pain frequency over the past 6 months). Indirect effect = .010, 95% CI [.0005, .024]; Model 2 = .008, 95% CI [−.002, .021]. **</w:t>
      </w:r>
      <w:r>
        <w:rPr>
          <w:rFonts w:ascii="Times New Roman" w:hAnsi="Times New Roman" w:cs="Times New Roman" w:eastAsia="바탕"/>
          <w:b w:val="0"/>
          <w:i/>
          <w:sz w:val="20"/>
        </w:rPr>
        <w:t>p</w:t>
      </w:r>
      <w:r>
        <w:rPr>
          <w:rFonts w:ascii="Times New Roman" w:hAnsi="Times New Roman" w:cs="Times New Roman" w:eastAsia="바탕"/>
          <w:b w:val="0"/>
          <w:i w:val="0"/>
          <w:sz w:val="20"/>
        </w:rPr>
        <w:t xml:space="preserve"> &lt; .01, ***</w:t>
      </w:r>
      <w:r>
        <w:rPr>
          <w:rFonts w:ascii="Times New Roman" w:hAnsi="Times New Roman" w:cs="Times New Roman" w:eastAsia="바탕"/>
          <w:b w:val="0"/>
          <w:i/>
          <w:sz w:val="20"/>
        </w:rPr>
        <w:t>p</w:t>
      </w:r>
      <w:r>
        <w:rPr>
          <w:rFonts w:ascii="Times New Roman" w:hAnsi="Times New Roman" w:cs="Times New Roman" w:eastAsia="바탕"/>
          <w:b w:val="0"/>
          <w:i w:val="0"/>
          <w:sz w:val="20"/>
        </w:rPr>
        <w:t xml:space="preserve"> &lt; .001.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