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480" w:lineRule="auto" w:before="120" w:after="0"/>
        <w:jc w:val="left"/>
      </w:pPr>
      <w:r>
        <w:rPr>
          <w:rFonts w:ascii="Times New Roman" w:hAnsi="Times New Roman" w:cs="Times New Roman" w:eastAsia="바탕"/>
          <w:b/>
          <w:i w:val="0"/>
          <w:sz w:val="24"/>
        </w:rPr>
        <w:t>3. 연구결과</w:t>
      </w:r>
    </w:p>
    <w:p>
      <w:pPr>
        <w:keepNext/>
        <w:spacing w:line="480" w:lineRule="auto" w:before="120" w:after="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3.1. 대상자의 일반적·임상적 특성</w:t>
      </w:r>
    </w:p>
    <w:p>
      <w:pPr>
        <w:keepNext w:val="0"/>
        <w:spacing w:line="480" w:lineRule="auto" w:before="0" w:after="120"/>
        <w:ind w:firstLine="397"/>
        <w:jc w:val="both"/>
      </w:pPr>
      <w:r>
        <w:rPr>
          <w:rFonts w:ascii="Times New Roman" w:hAnsi="Times New Roman" w:cs="Times New Roman" w:eastAsia="바탕"/>
          <w:b w:val="0"/>
          <w:i w:val="0"/>
          <w:sz w:val="22"/>
        </w:rPr>
        <w:t>원연구에서 기초선 자료를 수집한 만성요통 환자 160명 중 모든 측정도구의 모든 문항에 동일한 선택지로 응답한 2명의 자료를 결측으로 처리하여, 158명의 자료를 최종 분석하였다. 대상자의 일반적·임상적 특성은 Table 1과 같다. 대상자의 평균 연령은 38.17세(</w:t>
      </w:r>
      <w:r>
        <w:rPr>
          <w:rFonts w:ascii="Times New Roman" w:hAnsi="Times New Roman" w:cs="Times New Roman" w:eastAsia="바탕"/>
          <w:b w:val="0"/>
          <w:i/>
          <w:sz w:val="22"/>
        </w:rPr>
        <w:t>SD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10.81)였고, 여성이 129명(81.6%)이었다. 학력은 학사가 81명(51.3%)으로 가장 많았으며, 89명(56.3%)이 직업이 있었다. 통증 지속기간은 5년 이상이 64명(40.5%)으로 가장 많았고, 지난 6개월간 매일 또는 거의 매일 통증이 있었던 대상자는 52명(32.9%)이었다. 지난 1주간 평균 통증은 4.51점(</w:t>
      </w:r>
      <w:r>
        <w:rPr>
          <w:rFonts w:ascii="Times New Roman" w:hAnsi="Times New Roman" w:cs="Times New Roman" w:eastAsia="바탕"/>
          <w:b w:val="0"/>
          <w:i/>
          <w:sz w:val="22"/>
        </w:rPr>
        <w:t>SD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1.58)이었으며, 중등도(4–6점)가 101명(63.9%)이었다.</w:t>
      </w:r>
    </w:p>
    <w:p>
      <w:pPr>
        <w:keepNext/>
        <w:spacing w:line="480" w:lineRule="auto" w:before="120" w:after="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3.2. 주요 변수의 기술통계와 상관관계</w:t>
      </w:r>
    </w:p>
    <w:p>
      <w:pPr>
        <w:keepNext w:val="0"/>
        <w:spacing w:line="480" w:lineRule="auto" w:before="0" w:after="120"/>
        <w:ind w:firstLine="397"/>
        <w:jc w:val="both"/>
      </w:pPr>
      <w:r>
        <w:rPr>
          <w:rFonts w:ascii="Times New Roman" w:hAnsi="Times New Roman" w:cs="Times New Roman" w:eastAsia="바탕"/>
          <w:b w:val="0"/>
          <w:i w:val="0"/>
          <w:sz w:val="22"/>
        </w:rPr>
        <w:t>주요 변수의 기술통계와 상관관계는 Table 2와 같다. 의사소통 건강문해력의 평균은 80.27점(</w:t>
      </w:r>
      <w:r>
        <w:rPr>
          <w:rFonts w:ascii="Times New Roman" w:hAnsi="Times New Roman" w:cs="Times New Roman" w:eastAsia="바탕"/>
          <w:b w:val="0"/>
          <w:i/>
          <w:sz w:val="22"/>
        </w:rPr>
        <w:t>SD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30.32)이었으며, 대상자의 59.5%가 최고점(100점)에 응답하였다. 통증 개념 지식의 평균은 33.13점(</w:t>
      </w:r>
      <w:r>
        <w:rPr>
          <w:rFonts w:ascii="Times New Roman" w:hAnsi="Times New Roman" w:cs="Times New Roman" w:eastAsia="바탕"/>
          <w:b w:val="0"/>
          <w:i/>
          <w:sz w:val="22"/>
        </w:rPr>
        <w:t>SD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4.79), 신체활동 자기조절의 평균은 35.22점(</w:t>
      </w:r>
      <w:r>
        <w:rPr>
          <w:rFonts w:ascii="Times New Roman" w:hAnsi="Times New Roman" w:cs="Times New Roman" w:eastAsia="바탕"/>
          <w:b w:val="0"/>
          <w:i/>
          <w:sz w:val="22"/>
        </w:rPr>
        <w:t>SD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8.88)이었다. 주요 변수의 왜도는 −1.47에서 −0.15, 첨도는 0.17에서 1.74로 정규성 기준을 충족하였다. 의사소통 건강문해력은 신체활동 자기조절과 유의한 정적 상관관계가 있었으나(</w:t>
      </w:r>
      <w:r>
        <w:rPr>
          <w:rFonts w:ascii="Times New Roman" w:hAnsi="Times New Roman" w:cs="Times New Roman" w:eastAsia="바탕"/>
          <w:b w:val="0"/>
          <w:i/>
          <w:sz w:val="22"/>
        </w:rPr>
        <w:t>r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.27,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&lt; .001), 통증 개념 지식과의 상관관계는 유의하지 않았다(</w:t>
      </w:r>
      <w:r>
        <w:rPr>
          <w:rFonts w:ascii="Times New Roman" w:hAnsi="Times New Roman" w:cs="Times New Roman" w:eastAsia="바탕"/>
          <w:b w:val="0"/>
          <w:i/>
          <w:sz w:val="22"/>
        </w:rPr>
        <w:t>r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.15,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.067). 통증 개념 지식은 신체활동 자기조절과 유의한 정적 상관관계가 있었다(</w:t>
      </w:r>
      <w:r>
        <w:rPr>
          <w:rFonts w:ascii="Times New Roman" w:hAnsi="Times New Roman" w:cs="Times New Roman" w:eastAsia="바탕"/>
          <w:b w:val="0"/>
          <w:i/>
          <w:sz w:val="22"/>
        </w:rPr>
        <w:t>r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.27,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&lt; .001).</w:t>
      </w:r>
    </w:p>
    <w:p>
      <w:pPr>
        <w:keepNext/>
        <w:spacing w:line="480" w:lineRule="auto" w:before="120" w:after="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3.3. 통증 개념 지식의 매개효과</w:t>
      </w:r>
    </w:p>
    <w:p>
      <w:pPr>
        <w:keepNext w:val="0"/>
        <w:spacing w:line="480" w:lineRule="auto" w:before="0" w:after="120"/>
        <w:ind w:firstLine="397"/>
        <w:jc w:val="both"/>
      </w:pPr>
      <w:r>
        <w:rPr>
          <w:rFonts w:ascii="Times New Roman" w:hAnsi="Times New Roman" w:cs="Times New Roman" w:eastAsia="바탕"/>
          <w:b w:val="0"/>
          <w:i w:val="0"/>
          <w:sz w:val="22"/>
        </w:rPr>
        <w:t>의사소통 건강문해력과 신체활동 자기조절의 관계에서 통증 개념 지식의 매개효과를 검정한 결과는 Table 3, Figure 2와 같다. 의사소통 건강문해력은 신체활동 자기조절에 유의한 정적 총효과를 나타냈다(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0.078, </w:t>
      </w:r>
      <w:r>
        <w:rPr>
          <w:rFonts w:ascii="Times New Roman" w:hAnsi="Times New Roman" w:cs="Times New Roman" w:eastAsia="바탕"/>
          <w:b w:val="0"/>
          <w:i/>
          <w:sz w:val="22"/>
        </w:rPr>
        <w:t>SE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0.023,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&lt; .001, 95% CI [0.033, 0.123]). 의사소통 건강문해력이 통증 개념 지식에 미치는 영향(</w:t>
      </w:r>
      <w:r>
        <w:rPr>
          <w:rFonts w:ascii="Times New Roman" w:hAnsi="Times New Roman" w:cs="Times New Roman" w:eastAsia="바탕"/>
          <w:b w:val="0"/>
          <w:i/>
          <w:sz w:val="22"/>
        </w:rPr>
        <w:t>a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경로)은 통계적으로 유의하지 않았으나(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0.023,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.067), 통증 개념 지식은 신체활동 자기조절에 유의한 정적 영향을 미쳤다(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경로; 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0.435,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.002). 통증 개념 지식을 통제한 후에도 의사소통 건강문해력의 직접효과는 유의하였다(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0.068,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.003). 5,000회 부트스트래핑 결과, 통증 개념 지식을 통한 간접효과는 0.010(95% CI [0.0005, 0.024])으로 신뢰구간에 0을 포함하지 않아 부분매개효과가 확인되었으며, 이는 총효과의 약 13%에 해당하였다. 성별, 연령, 지난 6개월간 통증 빈도를 공변량으로 투입한 모형에서도 총효과(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0.076,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.001), 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경로(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0.423,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.004), 직접효과(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0.069,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.003)는 유의하게 유지되었으나, </w:t>
      </w:r>
      <w:r>
        <w:rPr>
          <w:rFonts w:ascii="Times New Roman" w:hAnsi="Times New Roman" w:cs="Times New Roman" w:eastAsia="바탕"/>
          <w:b w:val="0"/>
          <w:i/>
          <w:sz w:val="22"/>
        </w:rPr>
        <w:t>a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경로(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0.018, </w:t>
      </w:r>
      <w:r>
        <w:rPr>
          <w:rFonts w:ascii="Times New Roman" w:hAnsi="Times New Roman" w:cs="Times New Roman" w:eastAsia="바탕"/>
          <w:b w:val="0"/>
          <w:i/>
          <w:sz w:val="22"/>
        </w:rPr>
        <w:t>p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.155)와 간접효과(</w:t>
      </w:r>
      <w:r>
        <w:rPr>
          <w:rFonts w:ascii="Times New Roman" w:hAnsi="Times New Roman" w:cs="Times New Roman" w:eastAsia="바탕"/>
          <w:b w:val="0"/>
          <w:i/>
          <w:sz w:val="22"/>
        </w:rPr>
        <w:t>B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0.008, 95% CI [−0.002, 0.021])는 유의하지 않았다.</w:t>
      </w:r>
    </w:p>
    <w:p>
      <w:r>
        <w:br w:type="page"/>
      </w:r>
    </w:p>
    <w:p>
      <w:pPr>
        <w:keepNext/>
        <w:spacing w:line="240" w:lineRule="auto" w:before="0" w:after="8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Table 1.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대상자의 일반적·임상적 특성 (</w:t>
      </w:r>
      <w:r>
        <w:rPr>
          <w:rFonts w:ascii="Times New Roman" w:hAnsi="Times New Roman" w:cs="Times New Roman" w:eastAsia="바탕"/>
          <w:b w:val="0"/>
          <w:i/>
          <w:sz w:val="22"/>
        </w:rPr>
        <w:t>N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061"/>
        <w:gridCol w:w="2948"/>
        <w:gridCol w:w="2494"/>
      </w:tblGrid>
      <w:tr>
        <w:trPr>
          <w:cantSplit/>
        </w:trPr>
        <w:tc>
          <w:tcPr>
            <w:tcW w:type="dxa" w:w="3061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특성</w:t>
            </w:r>
          </w:p>
        </w:tc>
        <w:tc>
          <w:tcPr>
            <w:tcW w:type="dxa" w:w="2948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구분</w:t>
            </w:r>
          </w:p>
        </w:tc>
        <w:tc>
          <w:tcPr>
            <w:tcW w:type="dxa" w:w="249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n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(%) 또는 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M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± 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SD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연령 (세)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38.17 ± 10.81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29세 이하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38 (24.1)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30–39세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48 (30.4)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40–49세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47 (29.7)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50세 이상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25 (15.8)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성별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남성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29 (18.4)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여성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129 (81.6)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학력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고졸 이하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33 (20.9)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전문대졸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20 (12.7)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학사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81 (51.3)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석사 이상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24 (15.2)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현재 취업상태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직업 있음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89 (56.3)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직업 없음/구직 중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10 (6.3)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학생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27 (17.1)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가정주부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25 (15.8)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기타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  <w:vertAlign w:val="superscript"/>
              </w:rPr>
              <w:t>a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7 (4.4)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통증 지속기간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3개월–1년 미만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30 (19.0)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1–3년 미만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40 (25.3)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3–5년 미만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24 (15.2)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5년 이상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64 (40.5)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지난 6개월간 통증 빈도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매일 또는 거의 매일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52 (32.9)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3개월 이상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56 (35.4)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3개월 미만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50 (31.6)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지난 1주간 평균 통증 (0–10)</w:t>
            </w: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4.51 ± 1.58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0–3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  <w:vertAlign w:val="superscript"/>
              </w:rPr>
              <w:t>b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40 (25.3)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4–6</w:t>
            </w:r>
          </w:p>
        </w:tc>
        <w:tc>
          <w:tcPr>
            <w:tcW w:type="dxa" w:w="24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101 (63.9)</w:t>
            </w:r>
          </w:p>
        </w:tc>
      </w:tr>
      <w:tr>
        <w:trPr>
          <w:cantSplit/>
        </w:trPr>
        <w:tc>
          <w:tcPr>
            <w:tcW w:type="dxa" w:w="3061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left"/>
            </w:pPr>
          </w:p>
        </w:tc>
        <w:tc>
          <w:tcPr>
            <w:tcW w:type="dxa" w:w="2948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7–10</w:t>
            </w:r>
          </w:p>
        </w:tc>
        <w:tc>
          <w:tcPr>
            <w:tcW w:type="dxa" w:w="249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17 (10.8)</w:t>
            </w:r>
          </w:p>
        </w:tc>
      </w:tr>
    </w:tbl>
    <w:p>
      <w:pPr>
        <w:keepNext w:val="0"/>
        <w:spacing w:line="240" w:lineRule="auto" w:before="80" w:after="360"/>
        <w:jc w:val="left"/>
      </w:pPr>
      <w:r>
        <w:rPr>
          <w:rFonts w:ascii="Times New Roman" w:hAnsi="Times New Roman" w:cs="Times New Roman" w:eastAsia="바탕"/>
          <w:b w:val="0"/>
          <w:i/>
          <w:sz w:val="20"/>
        </w:rPr>
        <w:t>주.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perscript"/>
        </w:rPr>
        <w:t>a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육아휴직 3명 포함. 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perscript"/>
        </w:rPr>
        <w:t>b</w:t>
      </w:r>
      <w:r>
        <w:rPr>
          <w:rFonts w:ascii="Times New Roman" w:hAnsi="Times New Roman" w:cs="Times New Roman" w:eastAsia="바탕"/>
          <w:b w:val="0"/>
          <w:i w:val="0"/>
          <w:sz w:val="20"/>
        </w:rPr>
        <w:t>통증 없음(0점) 2명 포함.</w:t>
      </w:r>
    </w:p>
    <w:p>
      <w:r>
        <w:br w:type="page"/>
      </w:r>
    </w:p>
    <w:p>
      <w:pPr>
        <w:keepNext/>
        <w:spacing w:line="240" w:lineRule="auto" w:before="0" w:after="8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Table 2.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주요 변수의 기술통계와 상관관계 (</w:t>
      </w:r>
      <w:r>
        <w:rPr>
          <w:rFonts w:ascii="Times New Roman" w:hAnsi="Times New Roman" w:cs="Times New Roman" w:eastAsia="바탕"/>
          <w:b w:val="0"/>
          <w:i/>
          <w:sz w:val="22"/>
        </w:rPr>
        <w:t>N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2381"/>
        <w:gridCol w:w="1361"/>
        <w:gridCol w:w="794"/>
        <w:gridCol w:w="964"/>
        <w:gridCol w:w="907"/>
        <w:gridCol w:w="454"/>
        <w:gridCol w:w="794"/>
        <w:gridCol w:w="794"/>
        <w:gridCol w:w="454"/>
      </w:tblGrid>
      <w:tr>
        <w:trPr>
          <w:cantSplit/>
        </w:trPr>
        <w:tc>
          <w:tcPr>
            <w:tcW w:type="dxa" w:w="2381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변수</w:t>
            </w:r>
          </w:p>
        </w:tc>
        <w:tc>
          <w:tcPr>
            <w:tcW w:type="dxa" w:w="1361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M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± 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SD</w:t>
            </w:r>
          </w:p>
        </w:tc>
        <w:tc>
          <w:tcPr>
            <w:tcW w:type="dxa" w:w="79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범위</w:t>
            </w:r>
          </w:p>
        </w:tc>
        <w:tc>
          <w:tcPr>
            <w:tcW w:type="dxa" w:w="96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왜도</w:t>
            </w:r>
          </w:p>
        </w:tc>
        <w:tc>
          <w:tcPr>
            <w:tcW w:type="dxa" w:w="907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첨도</w:t>
            </w:r>
          </w:p>
        </w:tc>
        <w:tc>
          <w:tcPr>
            <w:tcW w:type="dxa" w:w="45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α</w:t>
            </w:r>
          </w:p>
        </w:tc>
        <w:tc>
          <w:tcPr>
            <w:tcW w:type="dxa" w:w="79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1. 의사소통 건강문해력 (0–100)</w:t>
            </w:r>
          </w:p>
        </w:tc>
        <w:tc>
          <w:tcPr>
            <w:tcW w:type="dxa" w:w="1361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80.27 ± 30.32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96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−1.47</w:t>
            </w:r>
          </w:p>
        </w:tc>
        <w:tc>
          <w:tcPr>
            <w:tcW w:type="dxa" w:w="907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0.96</w:t>
            </w:r>
          </w:p>
        </w:tc>
        <w:tc>
          <w:tcPr>
            <w:tcW w:type="dxa" w:w="45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.92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45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2. 통증 개념 지식 (0–52)</w:t>
            </w:r>
          </w:p>
        </w:tc>
        <w:tc>
          <w:tcPr>
            <w:tcW w:type="dxa" w:w="1361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33.13 ± 4.79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17–52</w:t>
            </w:r>
          </w:p>
        </w:tc>
        <w:tc>
          <w:tcPr>
            <w:tcW w:type="dxa" w:w="96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−0.15</w:t>
            </w:r>
          </w:p>
        </w:tc>
        <w:tc>
          <w:tcPr>
            <w:tcW w:type="dxa" w:w="907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45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.64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.15</w:t>
            </w:r>
          </w:p>
        </w:tc>
        <w:tc>
          <w:tcPr>
            <w:tcW w:type="dxa" w:w="79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5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2381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3. 신체활동 자기조절 (9–54)</w:t>
            </w:r>
          </w:p>
        </w:tc>
        <w:tc>
          <w:tcPr>
            <w:tcW w:type="dxa" w:w="1361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35.22 ± 8.88</w:t>
            </w:r>
          </w:p>
        </w:tc>
        <w:tc>
          <w:tcPr>
            <w:tcW w:type="dxa" w:w="79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9–54</w:t>
            </w:r>
          </w:p>
        </w:tc>
        <w:tc>
          <w:tcPr>
            <w:tcW w:type="dxa" w:w="96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−0.21</w:t>
            </w:r>
          </w:p>
        </w:tc>
        <w:tc>
          <w:tcPr>
            <w:tcW w:type="dxa" w:w="907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0.17</w:t>
            </w:r>
          </w:p>
        </w:tc>
        <w:tc>
          <w:tcPr>
            <w:tcW w:type="dxa" w:w="45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.91</w:t>
            </w:r>
          </w:p>
        </w:tc>
        <w:tc>
          <w:tcPr>
            <w:tcW w:type="dxa" w:w="79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.27***</w:t>
            </w:r>
          </w:p>
        </w:tc>
        <w:tc>
          <w:tcPr>
            <w:tcW w:type="dxa" w:w="79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.27***</w:t>
            </w:r>
          </w:p>
        </w:tc>
        <w:tc>
          <w:tcPr>
            <w:tcW w:type="dxa" w:w="45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—</w:t>
            </w:r>
          </w:p>
        </w:tc>
      </w:tr>
    </w:tbl>
    <w:p>
      <w:pPr>
        <w:keepNext w:val="0"/>
        <w:spacing w:line="240" w:lineRule="auto" w:before="80" w:after="360"/>
        <w:jc w:val="left"/>
      </w:pPr>
      <w:r>
        <w:rPr>
          <w:rFonts w:ascii="Times New Roman" w:hAnsi="Times New Roman" w:cs="Times New Roman" w:eastAsia="바탕"/>
          <w:b w:val="0"/>
          <w:i/>
          <w:sz w:val="20"/>
        </w:rPr>
        <w:t>주.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변수명 옆 괄호는 가능한 점수 범위이고, 범위 열은 관측값임. 상관계수는 Pearson's </w:t>
      </w:r>
      <w:r>
        <w:rPr>
          <w:rFonts w:ascii="Times New Roman" w:hAnsi="Times New Roman" w:cs="Times New Roman" w:eastAsia="바탕"/>
          <w:b w:val="0"/>
          <w:i/>
          <w:sz w:val="20"/>
        </w:rPr>
        <w:t>r</w:t>
      </w:r>
      <w:r>
        <w:rPr>
          <w:rFonts w:ascii="Times New Roman" w:hAnsi="Times New Roman" w:cs="Times New Roman" w:eastAsia="바탕"/>
          <w:b w:val="0"/>
          <w:i w:val="0"/>
          <w:sz w:val="20"/>
        </w:rPr>
        <w:t>. α = 본 연구 표본의 Cronbach's α. 의사소통 건강문해력 최고점(100점) 응답 59.5%. ***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.001.</w:t>
      </w:r>
    </w:p>
    <w:p>
      <w:r>
        <w:br w:type="page"/>
      </w:r>
    </w:p>
    <w:p>
      <w:pPr>
        <w:keepNext/>
        <w:spacing w:line="240" w:lineRule="auto" w:before="0" w:after="80"/>
        <w:jc w:val="left"/>
      </w:pPr>
      <w:r>
        <w:rPr>
          <w:rFonts w:ascii="Times New Roman" w:hAnsi="Times New Roman" w:cs="Times New Roman" w:eastAsia="바탕"/>
          <w:b/>
          <w:i/>
          <w:sz w:val="22"/>
        </w:rPr>
        <w:t>Table 3.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의사소통 건강문해력과 신체활동 자기조절의 관계에서 통증 개념 지식의 매개효과 (</w:t>
      </w:r>
      <w:r>
        <w:rPr>
          <w:rFonts w:ascii="Times New Roman" w:hAnsi="Times New Roman" w:cs="Times New Roman" w:eastAsia="바탕"/>
          <w:b w:val="0"/>
          <w:i/>
          <w:sz w:val="22"/>
        </w:rPr>
        <w:t>N</w:t>
      </w:r>
      <w:r>
        <w:rPr>
          <w:rFonts w:ascii="Times New Roman" w:hAnsi="Times New Roman" w:cs="Times New Roman" w:eastAsia="바탕"/>
          <w:b w:val="0"/>
          <w:i w:val="0"/>
          <w:sz w:val="22"/>
        </w:rPr>
        <w:t xml:space="preserve"> = 158)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left w:w="57" w:type="dxa"/>
          <w:right w:w="57" w:type="dxa"/>
        </w:tblCellMar>
      </w:tblPr>
      <w:tblGrid>
        <w:gridCol w:w="3175"/>
        <w:gridCol w:w="1644"/>
        <w:gridCol w:w="1474"/>
        <w:gridCol w:w="1644"/>
        <w:gridCol w:w="1474"/>
      </w:tblGrid>
      <w:tr>
        <w:trPr>
          <w:cantSplit/>
        </w:trPr>
        <w:tc>
          <w:tcPr>
            <w:tcW w:type="dxa" w:w="3175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경로</w:t>
            </w:r>
          </w:p>
        </w:tc>
        <w:tc>
          <w:tcPr>
            <w:tcW w:type="dxa" w:w="164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Model 1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  <w:vertAlign w:val="superscript"/>
              </w:rPr>
              <w:t>a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B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(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SE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)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95% CI</w:t>
            </w:r>
          </w:p>
        </w:tc>
        <w:tc>
          <w:tcPr>
            <w:tcW w:type="dxa" w:w="164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Model 2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  <w:vertAlign w:val="superscript"/>
              </w:rPr>
              <w:t>b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B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 xml:space="preserve"> (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SE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)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95% CI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결과변수: 통증 개념 지식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의사소통 건강문해력 (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a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)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0.023 (0.013)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−0.002, 0.048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0.018 (0.013)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−0.007, 0.043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²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.021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.077*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결과변수: 신체활동 자기조절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통증 개념 지식 (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b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)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0.435 (0.141)**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0.157, 0.714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0.423 (0.146)**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0.136, 0.711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의사소통 건강문해력 (</w:t>
            </w: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c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′, 직접효과)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0.068 (0.022)**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0.024, 0.112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0.069 (0.023)**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0.024, 0.113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²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.124***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.142***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총효과 (</w:t>
            </w:r>
            <w:r>
              <w:rPr>
                <w:rFonts w:ascii="Times New Roman" w:hAnsi="Times New Roman" w:cs="Times New Roman" w:eastAsia="바탕"/>
                <w:b/>
                <w:i/>
                <w:sz w:val="20"/>
              </w:rPr>
              <w:t>c</w:t>
            </w: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)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0.078 (0.023)***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0.033, 0.123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0.076 (0.023)**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0.031, 0.122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 w:val="0"/>
                <w:i/>
                <w:sz w:val="20"/>
              </w:rPr>
              <w:t>R</w:t>
            </w: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²</w:t>
            </w: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.071***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  <w:tc>
          <w:tcPr>
            <w:tcW w:type="dxa" w:w="1644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.094**</w:t>
            </w:r>
          </w:p>
        </w:tc>
        <w:tc>
          <w:tcPr>
            <w:tcW w:type="dxa" w:w="1474"/>
          </w:tcPr>
          <w:p>
            <w:pPr>
              <w:keepNext/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type="dxa" w:w="3175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left"/>
            </w:pP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간접효과 (</w:t>
            </w:r>
            <w:r>
              <w:rPr>
                <w:rFonts w:ascii="Times New Roman" w:hAnsi="Times New Roman" w:cs="Times New Roman" w:eastAsia="바탕"/>
                <w:b/>
                <w:i/>
                <w:sz w:val="20"/>
              </w:rPr>
              <w:t>a</w:t>
            </w: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 xml:space="preserve"> × </w:t>
            </w:r>
            <w:r>
              <w:rPr>
                <w:rFonts w:ascii="Times New Roman" w:hAnsi="Times New Roman" w:cs="Times New Roman" w:eastAsia="바탕"/>
                <w:b/>
                <w:i/>
                <w:sz w:val="20"/>
              </w:rPr>
              <w:t>b</w:t>
            </w:r>
            <w:r>
              <w:rPr>
                <w:rFonts w:ascii="Times New Roman" w:hAnsi="Times New Roman" w:cs="Times New Roman" w:eastAsia="바탕"/>
                <w:b/>
                <w:i w:val="0"/>
                <w:sz w:val="20"/>
              </w:rPr>
              <w:t>)</w:t>
            </w:r>
            <w:r>
              <w:rPr>
                <w:rFonts w:ascii="Times New Roman" w:hAnsi="Times New Roman" w:cs="Times New Roman" w:eastAsia="바탕"/>
                <w:b/>
                <w:i w:val="0"/>
                <w:sz w:val="20"/>
                <w:vertAlign w:val="superscript"/>
              </w:rPr>
              <w:t>c</w:t>
            </w:r>
          </w:p>
        </w:tc>
        <w:tc>
          <w:tcPr>
            <w:tcW w:type="dxa" w:w="164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0.010 (0.006)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0.0005, 0.024</w:t>
            </w:r>
          </w:p>
        </w:tc>
        <w:tc>
          <w:tcPr>
            <w:tcW w:type="dxa" w:w="164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0.008 (0.006)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 w:eastAsia="바탕"/>
                <w:b w:val="0"/>
                <w:i w:val="0"/>
                <w:sz w:val="20"/>
              </w:rPr>
              <w:t>−0.002, 0.021</w:t>
            </w:r>
          </w:p>
        </w:tc>
      </w:tr>
    </w:tbl>
    <w:p>
      <w:pPr>
        <w:keepNext w:val="0"/>
        <w:spacing w:line="240" w:lineRule="auto" w:before="80" w:after="360"/>
        <w:jc w:val="left"/>
      </w:pPr>
      <w:r>
        <w:rPr>
          <w:rFonts w:ascii="Times New Roman" w:hAnsi="Times New Roman" w:cs="Times New Roman" w:eastAsia="바탕"/>
          <w:b w:val="0"/>
          <w:i/>
          <w:sz w:val="20"/>
        </w:rPr>
        <w:t>주.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</w:t>
      </w:r>
      <w:r>
        <w:rPr>
          <w:rFonts w:ascii="Times New Roman" w:hAnsi="Times New Roman" w:cs="Times New Roman" w:eastAsia="바탕"/>
          <w:b w:val="0"/>
          <w:i/>
          <w:sz w:val="20"/>
        </w:rPr>
        <w:t>B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= 비표준화 계수; CI = confidence interval. 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perscript"/>
        </w:rPr>
        <w:t>a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공변량 미투입. 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perscript"/>
        </w:rPr>
        <w:t>b</w:t>
      </w:r>
      <w:r>
        <w:rPr>
          <w:rFonts w:ascii="Times New Roman" w:hAnsi="Times New Roman" w:cs="Times New Roman" w:eastAsia="바탕"/>
          <w:b w:val="0"/>
          <w:i w:val="0"/>
          <w:sz w:val="20"/>
        </w:rPr>
        <w:t>성별(기준: 남성), 연령(연속형), 지난 6개월간 통증 빈도(기준: 3개월 미만)를 매개변수와 결과변수 모형에 공변량으로 투입함. 공변량은 모든 모형에서 유의하지 않았음(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&gt; .05). </w:t>
      </w:r>
      <w:r>
        <w:rPr>
          <w:rFonts w:ascii="Times New Roman" w:hAnsi="Times New Roman" w:cs="Times New Roman" w:eastAsia="바탕"/>
          <w:b w:val="0"/>
          <w:i w:val="0"/>
          <w:sz w:val="20"/>
          <w:vertAlign w:val="superscript"/>
        </w:rPr>
        <w:t>c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간접효과의 </w:t>
      </w:r>
      <w:r>
        <w:rPr>
          <w:rFonts w:ascii="Times New Roman" w:hAnsi="Times New Roman" w:cs="Times New Roman" w:eastAsia="바탕"/>
          <w:b w:val="0"/>
          <w:i/>
          <w:sz w:val="20"/>
        </w:rPr>
        <w:t>SE</w:t>
      </w:r>
      <w:r>
        <w:rPr>
          <w:rFonts w:ascii="Times New Roman" w:hAnsi="Times New Roman" w:cs="Times New Roman" w:eastAsia="바탕"/>
          <w:b w:val="0"/>
          <w:i w:val="0"/>
          <w:sz w:val="20"/>
        </w:rPr>
        <w:t>는 부트스트랩 표준오차이며, 95% CI는 5,000회 부트스트랩 표본에 의한 백분위수 신뢰구간임. 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.05, **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.01, ***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.001.</w:t>
      </w:r>
    </w:p>
    <w:p>
      <w:r>
        <w:br w:type="page"/>
      </w:r>
    </w:p>
    <w:p>
      <w:pPr>
        <w:keepNext/>
        <w:spacing w:before="120"/>
        <w:jc w:val="center"/>
      </w:pPr>
      <w:r xmlns:a="http://schemas.openxmlformats.org/drawingml/2006/main">
        <mc:AlternateContent>
          <mc:Choice Requires="wpg">
            <w:drawing>
              <wp:inline distT="0" distB="0" distL="0" distR="0">
                <wp:extent cx="5580000" cy="2046000"/>
                <wp:effectExtent l="0" t="0" r="0" b="0"/>
                <wp:docPr id="611" name="Figure 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2046000"/>
                          <a:chOff x="0" y="0"/>
                          <a:chExt cx="5580000" cy="2046000"/>
                        </a:xfrm>
                      </wpg:grpSpPr>
                      <wps:wsp>
                        <wps:cNvPr id="601" name="Text 601"/>
                        <wps:cNvSpPr txBox="1"/>
                        <wps:spPr>
                          <a:xfrm>
                            <a:off x="62000" y="1426000"/>
                            <a:ext cx="1798000" cy="43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b/>
                                  <w:sz w:val="20"/>
                                  <w:szCs w:val="20"/>
                                </w:rPr>
                                <w:t xml:space="preserve">의사소통 건강문해력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02" name="Text 602"/>
                        <wps:cNvSpPr txBox="1"/>
                        <wps:spPr>
                          <a:xfrm>
                            <a:off x="1891000" y="186000"/>
                            <a:ext cx="1798000" cy="43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b/>
                                  <w:sz w:val="20"/>
                                  <w:szCs w:val="20"/>
                                </w:rPr>
                                <w:t xml:space="preserve">통증 개념 지식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03" name="Text 603"/>
                        <wps:cNvSpPr txBox="1"/>
                        <wps:spPr>
                          <a:xfrm>
                            <a:off x="3720000" y="1426000"/>
                            <a:ext cx="1798000" cy="43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b/>
                                  <w:sz w:val="20"/>
                                  <w:szCs w:val="20"/>
                                </w:rPr>
                                <w:t xml:space="preserve">신체활동 자기조절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04" name="Arrow 604"/>
                        <wps:cNvCnPr/>
                        <wps:spPr>
                          <a:xfrm flipV="1">
                            <a:off x="1178000" y="632400"/>
                            <a:ext cx="1054000" cy="7936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5" name="Arrow 605"/>
                        <wps:cNvCnPr/>
                        <wps:spPr>
                          <a:xfrm>
                            <a:off x="3348000" y="632400"/>
                            <a:ext cx="1054000" cy="781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6" name="Arrow 606"/>
                        <wps:cNvCnPr/>
                        <wps:spPr>
                          <a:xfrm>
                            <a:off x="1860000" y="1643000"/>
                            <a:ext cx="186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07" name="Text 607"/>
                        <wps:cNvSpPr txBox="1"/>
                        <wps:spPr>
                          <a:xfrm>
                            <a:off x="341000" y="818400"/>
                            <a:ext cx="1674000" cy="2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i/>
                                  <w:sz w:val="19"/>
                                  <w:szCs w:val="19"/>
                                </w:rPr>
                                <w:t xml:space="preserve">a</w:t>
                              </w:r>
                              <w:r>
                                <w:rPr>
                                  <w:rFonts w:ascii="Times New Roman" w:hAnsi="Times New Roman" w:cs="Times New Roman" w:eastAsia="바탕"/>
                                  <w:sz w:val="19"/>
                                  <w:szCs w:val="19"/>
                                </w:rPr>
                                <w:t xml:space="preserve"> = .023 (.018)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08" name="Text 608"/>
                        <wps:cNvSpPr txBox="1"/>
                        <wps:spPr>
                          <a:xfrm>
                            <a:off x="3565000" y="818400"/>
                            <a:ext cx="1674000" cy="2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i/>
                                  <w:sz w:val="19"/>
                                  <w:szCs w:val="19"/>
                                </w:rPr>
                                <w:t xml:space="preserve">b</w:t>
                              </w:r>
                              <w:r>
                                <w:rPr>
                                  <w:rFonts w:ascii="Times New Roman" w:hAnsi="Times New Roman" w:cs="Times New Roman" w:eastAsia="바탕"/>
                                  <w:sz w:val="19"/>
                                  <w:szCs w:val="19"/>
                                </w:rPr>
                                <w:t xml:space="preserve"> = .435** (.423**)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09" name="Text 609"/>
                        <wps:cNvSpPr txBox="1"/>
                        <wps:spPr>
                          <a:xfrm>
                            <a:off x="1860000" y="1419800"/>
                            <a:ext cx="1860000" cy="2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i/>
                                  <w:sz w:val="19"/>
                                  <w:szCs w:val="19"/>
                                </w:rPr>
                                <w:t xml:space="preserve">c</w:t>
                              </w:r>
                              <w:r>
                                <w:rPr>
                                  <w:rFonts w:ascii="Times New Roman" w:hAnsi="Times New Roman" w:cs="Times New Roman" w:eastAsia="바탕"/>
                                  <w:sz w:val="19"/>
                                  <w:szCs w:val="19"/>
                                </w:rPr>
                                <w:t xml:space="preserve">′ = .068** (.069**)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  <wps:wsp>
                        <wps:cNvPr id="610" name="Text 610"/>
                        <wps:cNvSpPr txBox="1"/>
                        <wps:spPr>
                          <a:xfrm>
                            <a:off x="1860000" y="1661600"/>
                            <a:ext cx="1860000" cy="2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eastAsia="바탕"/>
                                  <w:i/>
                                  <w:sz w:val="19"/>
                                  <w:szCs w:val="19"/>
                                </w:rPr>
                                <w:t xml:space="preserve">c</w:t>
                              </w:r>
                              <w:r>
                                <w:rPr>
                                  <w:rFonts w:ascii="Times New Roman" w:hAnsi="Times New Roman" w:cs="Times New Roman" w:eastAsia="바탕"/>
                                  <w:sz w:val="19"/>
                                  <w:szCs w:val="19"/>
                                </w:rPr>
                                <w:t xml:space="preserve"> = .078*** (.076**)</w:t>
                              </w:r>
                            </w:p>
                          </w:txbxContent>
                        </wps:txbx>
                        <wps:bodyPr rot="0" vert="horz" wrap="square" lIns="36000" tIns="18000" rIns="36000" bIns="1800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line="240" w:lineRule="auto" w:before="0" w:after="0"/>
        <w:jc w:val="left"/>
      </w:pPr>
      <w:r>
        <w:rPr>
          <w:rFonts w:ascii="Times New Roman" w:hAnsi="Times New Roman" w:cs="Times New Roman" w:eastAsia="바탕"/>
          <w:b/>
          <w:i/>
          <w:sz w:val="20"/>
        </w:rPr>
        <w:t>Figure 2.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매개모형 분석 결과</w:t>
      </w:r>
    </w:p>
    <w:p>
      <w:pPr>
        <w:keepNext w:val="0"/>
        <w:spacing w:line="240" w:lineRule="auto" w:before="0" w:after="120"/>
        <w:jc w:val="left"/>
      </w:pPr>
      <w:r>
        <w:rPr>
          <w:rFonts w:ascii="Times New Roman" w:hAnsi="Times New Roman" w:cs="Times New Roman" w:eastAsia="바탕"/>
          <w:b w:val="0"/>
          <w:i/>
          <w:sz w:val="20"/>
        </w:rPr>
        <w:t>주.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비표준화 계수. 괄호 밖은 Model 1(공변량 미투입), 괄호 안은 Model 2(성별, 연령, 지난 6개월간 통증 빈도 보정) 값. 간접효과 = .010, 95% CI [.0005, .024]; Model 2 = .008, 95% CI [−.002, .021]. **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.01, ***</w:t>
      </w:r>
      <w:r>
        <w:rPr>
          <w:rFonts w:ascii="Times New Roman" w:hAnsi="Times New Roman" w:cs="Times New Roman" w:eastAsia="바탕"/>
          <w:b w:val="0"/>
          <w:i/>
          <w:sz w:val="20"/>
        </w:rPr>
        <w:t>p</w:t>
      </w:r>
      <w:r>
        <w:rPr>
          <w:rFonts w:ascii="Times New Roman" w:hAnsi="Times New Roman" w:cs="Times New Roman" w:eastAsia="바탕"/>
          <w:b w:val="0"/>
          <w:i w:val="0"/>
          <w:sz w:val="20"/>
        </w:rPr>
        <w:t xml:space="preserve"> &lt; .001.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