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120" w:after="0"/>
        <w:jc w:val="left"/>
      </w:pPr>
      <w:r>
        <w:rPr>
          <w:rFonts w:ascii="Times New Roman" w:hAnsi="Times New Roman" w:cs="Times New Roman" w:eastAsia="바탕"/>
          <w:b/>
          <w:i w:val="0"/>
          <w:sz w:val="24"/>
        </w:rPr>
        <w:t>2. 연구방법</w:t>
      </w:r>
    </w:p>
    <w:p>
      <w:pPr>
        <w:keepNext/>
        <w:spacing w:line="480" w:lineRule="auto" w:before="120" w:after="0"/>
        <w:jc w:val="left"/>
      </w:pPr>
      <w:r>
        <w:rPr>
          <w:rFonts w:ascii="Times New Roman" w:hAnsi="Times New Roman" w:cs="Times New Roman" w:eastAsia="바탕"/>
          <w:b/>
          <w:i w:val="0"/>
          <w:sz w:val="22"/>
        </w:rPr>
        <w:t>2.1. 원연구 (Parent study)</w:t>
      </w:r>
    </w:p>
    <w:p>
      <w:pPr>
        <w:keepNext/>
        <w:spacing w:line="480" w:lineRule="auto" w:before="120" w:after="0"/>
        <w:jc w:val="left"/>
      </w:pPr>
      <w:r>
        <w:rPr>
          <w:rFonts w:ascii="Times New Roman" w:hAnsi="Times New Roman" w:cs="Times New Roman" w:eastAsia="바탕"/>
          <w:b/>
          <w:i/>
          <w:sz w:val="22"/>
        </w:rPr>
        <w:t>2.1.1. 연구설계</w:t>
      </w:r>
    </w:p>
    <w:p>
      <w:pPr>
        <w:keepNext w:val="0"/>
        <w:spacing w:line="480" w:lineRule="auto" w:before="0" w:after="120"/>
        <w:ind w:firstLine="397"/>
        <w:jc w:val="both"/>
      </w:pPr>
      <w:r>
        <w:rPr>
          <w:rFonts w:ascii="Times New Roman" w:hAnsi="Times New Roman" w:cs="Times New Roman" w:eastAsia="바탕"/>
          <w:b w:val="0"/>
          <w:i w:val="0"/>
          <w:sz w:val="22"/>
        </w:rPr>
        <w:t>원연구는 서울의 지역사회 만성요통 환자를 대상으로 생물심리사회모델에 근거한 모바일 기반 자가관리 프로그램(Problem-solving Pain to Enhance Living Well with Yoga, PROPEL+Y)의 효과를 검증하기 위해 설계된 무작위 대조군 실험연구이다.</w:t>
      </w:r>
    </w:p>
    <w:p>
      <w:pPr>
        <w:keepNext/>
        <w:spacing w:line="480" w:lineRule="auto" w:before="120" w:after="0"/>
        <w:jc w:val="left"/>
      </w:pPr>
      <w:r>
        <w:rPr>
          <w:rFonts w:ascii="Times New Roman" w:hAnsi="Times New Roman" w:cs="Times New Roman" w:eastAsia="바탕"/>
          <w:b/>
          <w:i/>
          <w:sz w:val="22"/>
        </w:rPr>
        <w:t>2.1.2. 연구대상 및 장소</w:t>
      </w:r>
    </w:p>
    <w:p>
      <w:pPr>
        <w:keepNext w:val="0"/>
        <w:spacing w:line="480" w:lineRule="auto" w:before="0" w:after="120"/>
        <w:ind w:firstLine="397"/>
        <w:jc w:val="both"/>
      </w:pPr>
      <w:r>
        <w:rPr>
          <w:rFonts w:ascii="Times New Roman" w:hAnsi="Times New Roman" w:cs="Times New Roman" w:eastAsia="바탕"/>
          <w:b w:val="0"/>
          <w:i w:val="0"/>
          <w:sz w:val="22"/>
        </w:rPr>
        <w:t>PROPEL+Y는 미국에서 개발된 인터넷 기반 만성요통 자가관리 프로그램 PROPEL(Kim et al., 2020; Xu et al., 2023)을 국내 성인에 맞게 모바일 앱, 화상 요가, 간호사 상담으로 구성한 프로그램으로, 예비연구에서 실행 가능성과 초기 효과가 확인되었다(Hong et al., 2026). 선정기준은 만 19–60세로, 12주 이상 4점 이상의 요통이 있고, 매일 인터넷을 사용할 수 있으며, 24주간의 중재와 자료수집에 참여할 의향이 있는 자였다. 특이적 원인이나 위험 신호가 있는 요통, 최근 1년 이내 허리 수술, 전신 질환이나 다른 만성통증, 임신에 해당하는 자는 제외하였다. 중재군은 2주 동안 앱으로 자가관리 교육 모듈 10개를 학습한 뒤 12주 동안 주 1회 화상 요가에 참여하였고, 활동량계를 착용하며 간호사의 주간 전화 상담을 받았다. 비교군은 암 검진 정보를 제공받고 같은 요가에만 참여하였다. 대상자는 사회관계망서비스 광고, 대학병원, 공공장소, 대학 캠퍼스를 통해 모집하였으며, 만성요통 환자 160명이 기초선 설문을 완료하고 중재군(</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 80)과 비교군(</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 80)에 무작위 배정되었다. 이와 별도로 건강 대조군 43명을 모집하였다. 추적 자료는 교육 모듈 종료 시점, 중재 종료 직후, 종료 1개월 후와 3개월 후에 수집하였다. 원연구의 자료는 2023년 3월부터 2024년 8월까지 수집하였다.</w:t>
      </w:r>
    </w:p>
    <w:p>
      <w:pPr>
        <w:keepNext/>
        <w:spacing w:line="480" w:lineRule="auto" w:before="120" w:after="0"/>
        <w:jc w:val="left"/>
      </w:pPr>
      <w:r>
        <w:rPr>
          <w:rFonts w:ascii="Times New Roman" w:hAnsi="Times New Roman" w:cs="Times New Roman" w:eastAsia="바탕"/>
          <w:b/>
          <w:i/>
          <w:sz w:val="22"/>
        </w:rPr>
        <w:t>2.1.3. 자료수집 절차</w:t>
      </w:r>
    </w:p>
    <w:p>
      <w:pPr>
        <w:keepNext w:val="0"/>
        <w:spacing w:line="480" w:lineRule="auto" w:before="0" w:after="120"/>
        <w:ind w:firstLine="397"/>
        <w:jc w:val="both"/>
      </w:pPr>
      <w:r>
        <w:rPr>
          <w:rFonts w:ascii="Times New Roman" w:hAnsi="Times New Roman" w:cs="Times New Roman" w:eastAsia="바탕"/>
          <w:b w:val="0"/>
          <w:i w:val="0"/>
          <w:sz w:val="22"/>
        </w:rPr>
        <w:t xml:space="preserve">전화로 선정기준을 확인한 지원자에게 연구원이 서울 소재 대학 연구실 방문 시 연구 목적과 절차를 설명하고, 신체검진과 문진으로 적격성을 최종 확인한 후 서면동의를 받았다. 이후 대상자는 온라인 설문지로 기초선 설문을 작성하였다. 중재군의 앱·활동량계 사용 교육과 비교군의 정보 제공은 기초선 설문을 마친 뒤에 이루어졌다. 공식 한국어판이 없는 영문 도구는 이중언어 연구자가 한국어로 번역한 뒤 연구팀 논의를 통해 명확성과 문화적 적합성을 검토하고 반복 수정하여 사용하였다(Hong et al., 2026). 대상자에게는 기초선 자료수집 후 2만 원의 사례비를 지급하였다. 원연구는 고려대학교 기관생명윤리위원회의 승인을 받았다(IRB No. 2021-0133). 본 연구는 원연구 책임자의 승인을 받아 개인식별정보가 제거된 자료를 사용하였으며, 고려대학교 기관생명윤리위원회의 심의면제를 받았다(IRB No. </w:t>
      </w:r>
      <w:r>
        <w:rPr>
          <w:rFonts w:ascii="Times New Roman" w:hAnsi="Times New Roman" w:cs="Times New Roman" w:eastAsia="바탕"/>
          <w:i w:val="0"/>
          <w:color w:val="C00000"/>
          <w:sz w:val="22"/>
        </w:rPr>
        <w:t>○○○○</w:t>
      </w:r>
      <w:r>
        <w:rPr>
          <w:rFonts w:ascii="Times New Roman" w:hAnsi="Times New Roman" w:cs="Times New Roman" w:eastAsia="바탕"/>
          <w:b w:val="0"/>
          <w:i w:val="0"/>
          <w:sz w:val="22"/>
        </w:rPr>
        <w:t>).</w:t>
      </w:r>
    </w:p>
    <w:p>
      <w:pPr>
        <w:keepNext/>
        <w:spacing w:line="480" w:lineRule="auto" w:before="120" w:after="0"/>
        <w:jc w:val="left"/>
      </w:pPr>
      <w:r>
        <w:rPr>
          <w:rFonts w:ascii="Times New Roman" w:hAnsi="Times New Roman" w:cs="Times New Roman" w:eastAsia="바탕"/>
          <w:b/>
          <w:i w:val="0"/>
          <w:sz w:val="22"/>
        </w:rPr>
        <w:t>2.2. 본 연구 (Current study)</w:t>
      </w:r>
    </w:p>
    <w:p>
      <w:pPr>
        <w:keepNext/>
        <w:spacing w:line="480" w:lineRule="auto" w:before="120" w:after="0"/>
        <w:jc w:val="left"/>
      </w:pPr>
      <w:r>
        <w:rPr>
          <w:rFonts w:ascii="Times New Roman" w:hAnsi="Times New Roman" w:cs="Times New Roman" w:eastAsia="바탕"/>
          <w:b/>
          <w:i/>
          <w:sz w:val="22"/>
        </w:rPr>
        <w:t>2.2.1. 연구설계</w:t>
      </w:r>
    </w:p>
    <w:p>
      <w:pPr>
        <w:keepNext w:val="0"/>
        <w:spacing w:line="480" w:lineRule="auto" w:before="0" w:after="120"/>
        <w:ind w:firstLine="397"/>
        <w:jc w:val="both"/>
      </w:pPr>
      <w:r>
        <w:rPr>
          <w:rFonts w:ascii="Times New Roman" w:hAnsi="Times New Roman" w:cs="Times New Roman" w:eastAsia="바탕"/>
          <w:b w:val="0"/>
          <w:i w:val="0"/>
          <w:sz w:val="22"/>
        </w:rPr>
        <w:t>본 연구는 원연구에 참여한 만성요통 환자 160명의 기초선 자료를 이차분석하여, 의사소통 건강문해력과 신체활동 자기조절의 관계에서 통증 개념 지식의 매개효과를 검증하는 횡단적 서술적 조사연구이다. 원연구는 프로그램의 효과를 다각적으로 평가하기 위해 만성요통 환자의 신경생리적·심리사회적 특성과 자가관리 관련 요인을 폭넓게 측정하였으며, 여기에 건강문해력, 통증에 대한 지식과 신념, 신체활동 자기조절이 포함되어 있어 본 연구의 목적을 검증하기에 적합하였다. 보고의 투명성을 확보하기 위해 역학 관찰연구 보고 강화 지침(Strengthening the Reporting of Observational Studies in Epidemiology, STROBE) 체크리스트를 준수하였다.</w:t>
      </w:r>
    </w:p>
    <w:p>
      <w:pPr>
        <w:keepNext/>
        <w:spacing w:line="480" w:lineRule="auto" w:before="120" w:after="0"/>
        <w:jc w:val="left"/>
      </w:pPr>
      <w:r>
        <w:rPr>
          <w:rFonts w:ascii="Times New Roman" w:hAnsi="Times New Roman" w:cs="Times New Roman" w:eastAsia="바탕"/>
          <w:b/>
          <w:i/>
          <w:sz w:val="22"/>
        </w:rPr>
        <w:t>2.2.2. 건강문해력과 건강행위 틀</w:t>
      </w:r>
    </w:p>
    <w:p>
      <w:pPr>
        <w:keepNext w:val="0"/>
        <w:spacing w:line="480" w:lineRule="auto" w:before="0" w:after="120"/>
        <w:ind w:firstLine="397"/>
        <w:jc w:val="both"/>
      </w:pPr>
      <w:r>
        <w:rPr>
          <w:rFonts w:ascii="Times New Roman" w:hAnsi="Times New Roman" w:cs="Times New Roman" w:eastAsia="바탕"/>
          <w:b w:val="0"/>
          <w:i w:val="0"/>
          <w:sz w:val="22"/>
        </w:rPr>
        <w:t>von Wagner 등(2009)은 건강문해력과 건강행위 틀을 제시하였다. 이 틀에 따르면 건강문해력은 연령과 교육수준 같은 개인 요인과 고용상태 같은 외부 요인의 영향을 받으며, 동기(지식, 신념)와 의지(자기효능감) 같은 심리사회적 결정요인을 거쳐 건강행위에 영향을 미친다. 또한 이러한 심리사회적 결정요인은 건강정보에 대한 접근성이나 환자–의료제공자 의사소통과 같은 체계 요인의 영향을 받는다(von Wagner et al., 2009). 건강문해력이 동기와 자기효능감을 거쳐 자가간호와 관련되는 경로는 최근 신체장애가 있는 당뇨병 환자에서도 확인되었다(Nam &amp; Yoon, 2024).</w:t>
      </w:r>
    </w:p>
    <w:p>
      <w:pPr>
        <w:keepNext w:val="0"/>
        <w:spacing w:line="480" w:lineRule="auto" w:before="0" w:after="120"/>
        <w:ind w:firstLine="397"/>
        <w:jc w:val="both"/>
      </w:pPr>
      <w:r>
        <w:rPr>
          <w:rFonts w:ascii="Times New Roman" w:hAnsi="Times New Roman" w:cs="Times New Roman" w:eastAsia="바탕"/>
          <w:b w:val="0"/>
          <w:i w:val="0"/>
          <w:sz w:val="22"/>
        </w:rPr>
        <w:t xml:space="preserve">본 연구는 만성요통 환자의 신체활동 자기조절을 설명하기 위해 이 틀을 다음과 같이 수정하였다. 첫째, 원 틀이 환자–의료제공자 의사소통을 심리사회적 결정요인에 영향을 미치는 요인으로 제시한 점에 근거하여, 의료제공자와 소통하며 정보를 얻고 자신의 상황에 적용하는 능력인 의사소통 건강문해력(Nutbeam, 2008)을 독립변수로 하였다. 둘째, 동기 요인으로는 요통 환자에게 특이적인 통증에 대한 지식과 신념, 즉 통증 개념 지식을 매개변수로 하였다. 셋째, 원 틀은 의지 요인을 건강행위의 결정요인으로 보지만, 신체활동은 꾸준히 유지되어야 효과를 얻는 행위이므로 본 연구는 신체활동을 계획하고 점검하며 조정하는 의지 요인인 신체활동 자기조절을 결과변수로 하였다(Yeom et al., 2011). Figure 1과 같이 수정한 틀에는 건강문해력의 개인 요인인 연령(von Wagner et al., 2009)과 성별 </w:t>
      </w:r>
      <w:r>
        <w:rPr>
          <w:rFonts w:ascii="Times New Roman" w:hAnsi="Times New Roman" w:cs="Times New Roman" w:eastAsia="바탕"/>
          <w:i w:val="0"/>
          <w:color w:val="C00000"/>
          <w:sz w:val="22"/>
        </w:rPr>
        <w:t>[성별과 건강문해력 또는 통증 지식·자기조절의 관련을 보인 선행연구 1편 필요</w:t>
      </w:r>
      <w:r>
        <w:rPr>
          <w:rFonts w:ascii="Times New Roman" w:hAnsi="Times New Roman" w:cs="Times New Roman" w:eastAsia="바탕"/>
          <w:b w:val="0"/>
          <w:i w:val="0"/>
          <w:sz w:val="22"/>
        </w:rPr>
        <w:t>], 그리고 통증 관련 특성인 지난 6개월간 통증 빈도를 공변량으로 포함하였다.</w:t>
      </w:r>
    </w:p>
    <w:p>
      <w:pPr>
        <w:keepNext/>
        <w:spacing w:before="240" w:after="80"/>
        <w:jc w:val="center"/>
      </w:pPr>
      <w:r>
        <w:drawing>
          <wp:inline xmlns:a="http://schemas.openxmlformats.org/drawingml/2006/main" xmlns:pic="http://schemas.openxmlformats.org/drawingml/2006/picture">
            <wp:extent cx="5580000" cy="2232000"/>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580000" cy="2232000"/>
                    </a:xfrm>
                    <a:prstGeom prst="rect"/>
                  </pic:spPr>
                </pic:pic>
              </a:graphicData>
            </a:graphic>
          </wp:inline>
        </w:drawing>
      </w:r>
    </w:p>
    <w:p>
      <w:pPr>
        <w:keepNext/>
        <w:spacing w:line="240" w:lineRule="auto" w:before="0" w:after="0"/>
        <w:jc w:val="left"/>
      </w:pPr>
      <w:r>
        <w:rPr>
          <w:rFonts w:ascii="Times New Roman" w:hAnsi="Times New Roman" w:cs="Times New Roman" w:eastAsia="바탕"/>
          <w:b/>
          <w:i/>
          <w:sz w:val="20"/>
        </w:rPr>
        <w:t>Figure 1.</w:t>
      </w:r>
      <w:r>
        <w:rPr>
          <w:rFonts w:ascii="Times New Roman" w:hAnsi="Times New Roman" w:cs="Times New Roman" w:eastAsia="바탕"/>
          <w:b w:val="0"/>
          <w:i w:val="0"/>
          <w:sz w:val="20"/>
        </w:rPr>
        <w:t xml:space="preserve"> 연구의 개념적 기틀</w:t>
      </w:r>
    </w:p>
    <w:p>
      <w:pPr>
        <w:keepNext w:val="0"/>
        <w:spacing w:line="240" w:lineRule="auto" w:before="0" w:after="240"/>
        <w:jc w:val="left"/>
      </w:pPr>
      <w:r>
        <w:rPr>
          <w:rFonts w:ascii="Times New Roman" w:hAnsi="Times New Roman" w:cs="Times New Roman" w:eastAsia="바탕"/>
          <w:b w:val="0"/>
          <w:i/>
          <w:sz w:val="20"/>
        </w:rPr>
        <w:t>주.</w:t>
      </w:r>
      <w:r>
        <w:rPr>
          <w:rFonts w:ascii="Times New Roman" w:hAnsi="Times New Roman" w:cs="Times New Roman" w:eastAsia="바탕"/>
          <w:b w:val="0"/>
          <w:i w:val="0"/>
          <w:sz w:val="20"/>
        </w:rPr>
        <w:t xml:space="preserve"> von Wagner 등(2009)의 건강문해력과 건강행위 틀을 수정함. 실선은 검증한 경로(</w:t>
      </w:r>
      <w:r>
        <w:rPr>
          <w:rFonts w:ascii="Times New Roman" w:hAnsi="Times New Roman" w:cs="Times New Roman" w:eastAsia="바탕"/>
          <w:b w:val="0"/>
          <w:i/>
          <w:sz w:val="20"/>
        </w:rPr>
        <w:t>a</w:t>
      </w:r>
      <w:r>
        <w:rPr>
          <w:rFonts w:ascii="Times New Roman" w:hAnsi="Times New Roman" w:cs="Times New Roman" w:eastAsia="바탕"/>
          <w:b w:val="0"/>
          <w:i w:val="0"/>
          <w:sz w:val="20"/>
        </w:rPr>
        <w:t xml:space="preserve">, </w:t>
      </w:r>
      <w:r>
        <w:rPr>
          <w:rFonts w:ascii="Times New Roman" w:hAnsi="Times New Roman" w:cs="Times New Roman" w:eastAsia="바탕"/>
          <w:b w:val="0"/>
          <w:i/>
          <w:sz w:val="20"/>
        </w:rPr>
        <w:t>b</w:t>
      </w:r>
      <w:r>
        <w:rPr>
          <w:rFonts w:ascii="Times New Roman" w:hAnsi="Times New Roman" w:cs="Times New Roman" w:eastAsia="바탕"/>
          <w:b w:val="0"/>
          <w:i w:val="0"/>
          <w:sz w:val="20"/>
        </w:rPr>
        <w:t xml:space="preserve">, </w:t>
      </w:r>
      <w:r>
        <w:rPr>
          <w:rFonts w:ascii="Times New Roman" w:hAnsi="Times New Roman" w:cs="Times New Roman" w:eastAsia="바탕"/>
          <w:b w:val="0"/>
          <w:i/>
          <w:sz w:val="20"/>
        </w:rPr>
        <w:t>c</w:t>
      </w:r>
      <w:r>
        <w:rPr>
          <w:rFonts w:ascii="Times New Roman" w:hAnsi="Times New Roman" w:cs="Times New Roman" w:eastAsia="바탕"/>
          <w:b w:val="0"/>
          <w:i w:val="0"/>
          <w:sz w:val="20"/>
        </w:rPr>
        <w:t>′), 점선은 공변량을 투입한 모형(Model 2)에서 보정한 변수를 나타냄.</w:t>
      </w:r>
    </w:p>
    <w:p>
      <w:pPr>
        <w:keepNext/>
        <w:spacing w:line="480" w:lineRule="auto" w:before="120" w:after="0"/>
        <w:jc w:val="left"/>
      </w:pPr>
      <w:r>
        <w:rPr>
          <w:rFonts w:ascii="Times New Roman" w:hAnsi="Times New Roman" w:cs="Times New Roman" w:eastAsia="바탕"/>
          <w:b/>
          <w:i/>
          <w:sz w:val="22"/>
        </w:rPr>
        <w:t>2.2.3. 측정도구</w:t>
      </w:r>
    </w:p>
    <w:p>
      <w:pPr>
        <w:keepNext w:val="0"/>
        <w:spacing w:line="480" w:lineRule="auto" w:before="0" w:after="120"/>
        <w:ind w:firstLine="397"/>
        <w:jc w:val="both"/>
      </w:pPr>
      <w:r>
        <w:rPr>
          <w:rFonts w:ascii="Times New Roman" w:hAnsi="Times New Roman" w:cs="Times New Roman" w:eastAsia="바탕"/>
          <w:b w:val="0"/>
          <w:i w:val="0"/>
          <w:sz w:val="22"/>
        </w:rPr>
        <w:t xml:space="preserve">본 연구와 관련된 대상자의 특성으로 연령, 성별, 교육수준, 결혼상태, 직업상태, 흡연, 체질량지수, 통증 지속기간, 지난 6개월간 통증 빈도, 지난 1주간 평균 통증, 마약성 진통제 복용, 주사치료와 운동치료 여부를 조사하였다. 연령은 만 나이로 조사하였고, 교육수준은 고등학교 졸업 이하, 전문대학 졸업, 대학교 졸업, 대학원 이상으로 구분하였다. 지난 6개월간 통증 빈도는 지난 6개월 동안 요통이 얼마나 자주 있었는지를 묻는 문항으로 측정하여 '매일 또는 거의 매일', '3개월 이상', '3개월 미만'으로 구분하였다 </w:t>
      </w:r>
      <w:r>
        <w:rPr>
          <w:rFonts w:ascii="Times New Roman" w:hAnsi="Times New Roman" w:cs="Times New Roman" w:eastAsia="바탕"/>
          <w:i w:val="0"/>
          <w:color w:val="C00000"/>
          <w:sz w:val="22"/>
        </w:rPr>
        <w:t>[문항 출처: NIH Research Task Force 최소 자료셋(Deyo et al., 2014) 문항일 가능성 → 설문지 문구 확인 후 인용</w:t>
      </w:r>
      <w:r>
        <w:rPr>
          <w:rFonts w:ascii="Times New Roman" w:hAnsi="Times New Roman" w:cs="Times New Roman" w:eastAsia="바탕"/>
          <w:b w:val="0"/>
          <w:i w:val="0"/>
          <w:sz w:val="22"/>
        </w:rPr>
        <w:t>]. 통증 강도는 Brief Pain Inventory–Short Form의 지난 1주간 평균 통증 문항(0–10점)으로 측정하였다.</w:t>
      </w:r>
    </w:p>
    <w:p>
      <w:pPr>
        <w:keepNext w:val="0"/>
        <w:spacing w:line="480" w:lineRule="auto" w:before="0" w:after="120"/>
        <w:ind w:firstLine="397"/>
        <w:jc w:val="both"/>
      </w:pPr>
      <w:r>
        <w:rPr>
          <w:rFonts w:ascii="Times New Roman" w:hAnsi="Times New Roman" w:cs="Times New Roman" w:eastAsia="바탕"/>
          <w:b/>
          <w:i/>
          <w:sz w:val="22"/>
        </w:rPr>
        <w:t>2.2.3.1. 의사소통 건강문해력.</w:t>
      </w:r>
      <w:r>
        <w:rPr>
          <w:rFonts w:ascii="Times New Roman" w:hAnsi="Times New Roman" w:cs="Times New Roman" w:eastAsia="바탕"/>
          <w:b w:val="0"/>
          <w:i w:val="0"/>
          <w:sz w:val="22"/>
        </w:rPr>
        <w:t xml:space="preserve"> 본 연구에서 의사소통 건강문해력을 측정하기 위해 WHO 유럽지역사무소의 건강문해력 측정 네트워크(M-POHL)에서 개발한 HLS19-COM-P(The HLS19-COM-P Instrument for Measuring Communicative Health Literacy with Physicians)의 6문항 단축형인 HLS19-COM-P-Q6를 사용하였다(Finbråten et al., 2022). 이 도구는 의사와 대면하여 정보를 주고받고 그 의미를 파악하여 의사결정에 참여하는 환자의 능력을 측정한다. 각 문항은 4점 Likert 척도(매우 어려움 1점 ~ 매우 쉬움 4점)로 응답하며, 개발자의 채점 지침에 따라 유효하게 응답한 문항 중 '쉬움' 또는 '매우 쉬움'으로 응답한 문항의 비율에 100을 곱하여 0–100점으로 산출하였다. 6문항 중 5문항 미만에 응답한 경우는 결측으로 처리하였다. 점수가 높을수록 의사와의 의사소통 능력이 높음을 의미한다. 도구 개발 당시 신뢰도는 Cronbach's α = .84–.90이었으며, 본 연구에서 도구의 신뢰도는 Cronbach's α = .92였다.</w:t>
      </w:r>
    </w:p>
    <w:p>
      <w:pPr>
        <w:keepNext w:val="0"/>
        <w:spacing w:line="480" w:lineRule="auto" w:before="0" w:after="120"/>
        <w:ind w:firstLine="397"/>
        <w:jc w:val="both"/>
      </w:pPr>
      <w:r>
        <w:rPr>
          <w:rFonts w:ascii="Times New Roman" w:hAnsi="Times New Roman" w:cs="Times New Roman" w:eastAsia="바탕"/>
          <w:b/>
          <w:i/>
          <w:sz w:val="22"/>
        </w:rPr>
        <w:t>2.2.3.2. 통증 개념 지식.</w:t>
      </w:r>
      <w:r>
        <w:rPr>
          <w:rFonts w:ascii="Times New Roman" w:hAnsi="Times New Roman" w:cs="Times New Roman" w:eastAsia="바탕"/>
          <w:b w:val="0"/>
          <w:i w:val="0"/>
          <w:sz w:val="22"/>
        </w:rPr>
        <w:t xml:space="preserve"> 본 연구에서 대상자의 통증에 대한 지식과 신념을 측정하기 위해 Pate 등(2022)이 개발한 COPI-Adult(The Concept of Pain Inventory for Adults)를 이용하였다. 이 도구는 통증의 생물심리사회적 모델에 기반하여, 통증이 단순한 조직 손상의 결과가 아니라 신경계의 보호 반응이라는 통증 과학의 개념을 얼마나 이해하고 있는지를 평가한다. 총 13개의 문항으로 구성되어 있으며, 각 문항은 5점 Likert 척도(완전히 동의하지 않는다 0점 ~ 완전히 동의한다 4점)로 응답한다. 총점은 0–52점이며, 점수가 높을수록 현대 통증 과학의 지식과 신념을 가지고 있음을 의미한다. 도구 개발 당시 신뢰도는 Cronbach's α = .78이었으며, 본 연구에서 도구의 신뢰도는 Cronbach's α = .64였다. 국내 만성요통 환자를 대상으로 한 선행연구에서도 Cronbach's α = .63으로 보고되었다(김남수, 2024). </w:t>
      </w:r>
      <w:r>
        <w:rPr>
          <w:rFonts w:ascii="Times New Roman" w:hAnsi="Times New Roman" w:cs="Times New Roman" w:eastAsia="바탕"/>
          <w:i w:val="0"/>
          <w:color w:val="C00000"/>
          <w:sz w:val="22"/>
        </w:rPr>
        <w:t>[김남수(2024)의 n = 62가 원연구 대상자 일부인지 확인 → 같은 자료라면 이 문장 삭제</w:t>
      </w:r>
      <w:r>
        <w:rPr>
          <w:rFonts w:ascii="Times New Roman" w:hAnsi="Times New Roman" w:cs="Times New Roman" w:eastAsia="바탕"/>
          <w:b w:val="0"/>
          <w:i w:val="0"/>
          <w:sz w:val="22"/>
        </w:rPr>
        <w:t>]</w:t>
      </w:r>
    </w:p>
    <w:p>
      <w:pPr>
        <w:keepNext w:val="0"/>
        <w:spacing w:line="480" w:lineRule="auto" w:before="0" w:after="120"/>
        <w:ind w:firstLine="397"/>
        <w:jc w:val="both"/>
      </w:pPr>
      <w:r>
        <w:rPr>
          <w:rFonts w:ascii="Times New Roman" w:hAnsi="Times New Roman" w:cs="Times New Roman" w:eastAsia="바탕"/>
          <w:b/>
          <w:i/>
          <w:sz w:val="22"/>
        </w:rPr>
        <w:t>2.2.3.3. 신체활동 자기조절.</w:t>
      </w:r>
      <w:r>
        <w:rPr>
          <w:rFonts w:ascii="Times New Roman" w:hAnsi="Times New Roman" w:cs="Times New Roman" w:eastAsia="바탕"/>
          <w:b w:val="0"/>
          <w:i w:val="0"/>
          <w:sz w:val="22"/>
        </w:rPr>
        <w:t xml:space="preserve"> 본 연구에서는 신체활동 자기조절 수준을 평가하기 위해 Fleury (1998)가 개발한 ISR(Index of Self-Regulation)을 신체활동에 맞게 수정한 9문항판(Fleury et al., 2001)을 이용하였다. 이 도구는 개인이 신체활동 목표를 설정하고 이를 달성하기 위해 자신의 행동을 모니터링하며 조절하는 능력을 평가한다. 각 문항은 6점 Likert 척도(전혀 동의하지 않는다 1점 ~ 매우 동의한다 6점)로 측정되며, 총점은 9–54점으로 점수가 높을수록 신체활동 자기조절 수준이 높음을 의미한다. 도구 개발 당시 신뢰도는 Cronbach's α = .87이었으며, 본 연구에서 도구의 신뢰도는 Cronbach's α = .91이었다.</w:t>
      </w:r>
    </w:p>
    <w:p>
      <w:pPr>
        <w:keepNext/>
        <w:spacing w:line="480" w:lineRule="auto" w:before="120" w:after="0"/>
        <w:jc w:val="left"/>
      </w:pPr>
      <w:r>
        <w:rPr>
          <w:rFonts w:ascii="Times New Roman" w:hAnsi="Times New Roman" w:cs="Times New Roman" w:eastAsia="바탕"/>
          <w:b/>
          <w:i/>
          <w:sz w:val="22"/>
        </w:rPr>
        <w:t>2.2.4. 자료분석</w:t>
      </w:r>
    </w:p>
    <w:p>
      <w:pPr>
        <w:keepNext w:val="0"/>
        <w:spacing w:line="480" w:lineRule="auto" w:before="0" w:after="120"/>
        <w:ind w:firstLine="397"/>
        <w:jc w:val="both"/>
      </w:pPr>
      <w:r>
        <w:rPr>
          <w:rFonts w:ascii="Times New Roman" w:hAnsi="Times New Roman" w:cs="Times New Roman" w:eastAsia="바탕"/>
          <w:b w:val="0"/>
          <w:i w:val="0"/>
          <w:sz w:val="22"/>
        </w:rPr>
        <w:t xml:space="preserve">자료 분석은 IBM SPSS Statistics 29.0 </w:t>
      </w:r>
      <w:r>
        <w:rPr>
          <w:rFonts w:ascii="Times New Roman" w:hAnsi="Times New Roman" w:cs="Times New Roman" w:eastAsia="바탕"/>
          <w:i w:val="0"/>
          <w:color w:val="C00000"/>
          <w:sz w:val="22"/>
        </w:rPr>
        <w:t>[SPSS 버전 확인</w:t>
      </w:r>
      <w:r>
        <w:rPr>
          <w:rFonts w:ascii="Times New Roman" w:hAnsi="Times New Roman" w:cs="Times New Roman" w:eastAsia="바탕"/>
          <w:b w:val="0"/>
          <w:i w:val="0"/>
          <w:sz w:val="22"/>
        </w:rPr>
        <w:t xml:space="preserve">]과 PROCESS macro 5.0을 사용하여 수행하였다. 대상자의 일반적 특성과 주요 변수는 빈도, 백분율, 평균, 표준편차로 제시하였고, 측정 도구의 신뢰도는 Cronbach's α 값을 통해 확인하였다. 주요 변수의 정규성은 왜도와 첨도를 통해 검토하였으며, 왜도의 절댓값이 2 미만, 첨도의 절댓값이 7 미만이면 정규성 가정을 충족하는 것으로 판단하였다(West et al., 1995) </w:t>
      </w:r>
      <w:r>
        <w:rPr>
          <w:rFonts w:ascii="Times New Roman" w:hAnsi="Times New Roman" w:cs="Times New Roman" w:eastAsia="바탕"/>
          <w:i w:val="0"/>
          <w:color w:val="C00000"/>
          <w:sz w:val="22"/>
        </w:rPr>
        <w:t>[인용 확인: West et al. (1995) 원문 또는 Kim (2013, Restorative Dentistry &amp; Endodontics)</w:t>
      </w:r>
      <w:r>
        <w:rPr>
          <w:rFonts w:ascii="Times New Roman" w:hAnsi="Times New Roman" w:cs="Times New Roman" w:eastAsia="바탕"/>
          <w:b w:val="0"/>
          <w:i w:val="0"/>
          <w:sz w:val="22"/>
        </w:rPr>
        <w:t>]. 의사소통 건강문해력, 통증 개념 지식, 신체활동 자기조절 간의 상관관계는 Pearson의 상관계수로 분석하였다.</w:t>
      </w:r>
    </w:p>
    <w:p>
      <w:pPr>
        <w:keepNext w:val="0"/>
        <w:spacing w:line="480" w:lineRule="auto" w:before="0" w:after="120"/>
        <w:ind w:firstLine="397"/>
        <w:jc w:val="both"/>
      </w:pPr>
      <w:r>
        <w:rPr>
          <w:rFonts w:ascii="Times New Roman" w:hAnsi="Times New Roman" w:cs="Times New Roman" w:eastAsia="바탕"/>
          <w:b w:val="0"/>
          <w:i w:val="0"/>
          <w:sz w:val="22"/>
        </w:rPr>
        <w:t>의사소통 건강문해력과 신체활동 자기조절 간 관계에서 통증 개념 지식의 매개효과를 확인하기 위하여 Hayes (2022)가 제안한 PROCESS macro 모형 4를 적용한 매개분석을 실시하였다. 공변량을 투입하지 않은 모형(Model 1)과 성별, 연령, 지난 6개월간 통증 빈도를 공변량으로 투입한 모형(Model 2)을 각각 분석하였다. 성별과 통증 빈도는 더미변수로 변환하여 투입하였으며, 통증 빈도는 '3개월 미만'을 기준범주로 하였다. 간접효과의 통계적 유의성을 검증하기 위해 5,000회 부트스트래핑(bootstrapping)을 시행하였고, 백분위수(percentile) 95% 신뢰구간에 0이 포함되지 않을 때 통계적으로 유의한 것으로 판단하였다. 통계적 유의수준은 .05로 하였다.</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