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PRODUCT REQUIREMENTS DOCUMENT</w:t>
      </w:r>
    </w:p>
    <w:p>
      <w:pPr>
        <w:spacing w:after="120"/>
      </w:pPr>
      <w:r>
        <w:rPr>
          <w:b/>
          <w:bCs/>
          <w:color w:val="F4522D"/>
          <w:sz w:val="26"/>
          <w:szCs w:val="26"/>
        </w:rPr>
        <w:t xml:space="preserve">VedaAI — AI Teacher's Toolkit (Assessment Extraction &amp; Answer Mapping)</w:t>
      </w:r>
    </w:p>
    <w:p>
      <w:pPr>
        <w:spacing w:after="300"/>
      </w:pPr>
      <w:r>
        <w:rPr>
          <w:i/>
          <w:iCs/>
          <w:color w:val="64748B"/>
          <w:sz w:val="20"/>
          <w:szCs w:val="20"/>
        </w:rPr>
        <w:t xml:space="preserve">Version 2.0  ·  Draft  ·  Hiring assignment submission — updated to match the provided VedaAI mockup</w:t>
      </w:r>
    </w:p>
    <w:p>
      <w:pPr>
        <w:pBdr>
          <w:left w:val="single" w:color="F4522D" w:sz="24" w:space="8"/>
        </w:pBdr>
        <w:shd w:fill="FFF4F0" w:val="clear"/>
        <w:spacing w:after="200" w:before="100"/>
        <w:ind w:left="100"/>
      </w:pPr>
      <w:r>
        <w:rPr>
          <w:i/>
          <w:iCs/>
          <w:color w:val="0F172A"/>
          <w:sz w:val="20"/>
          <w:szCs w:val="20"/>
        </w:rPr>
        <w:t xml:space="preserve">What changed in v2.0: the product is renamed from the standalone “AssessAI” concept to “AI Teacher's Toolkit” — a module inside the existing VedaAI teacher platform, per the provided design mockup. The core problem, users, and MVP scope are unchanged; the app flow and assumptions sections below are updated to reflect the surrounding app shell (sidebar, top bar, teacher profile) and the inline AI-feedback interaction shown in the mockup.</w:t>
      </w:r>
    </w:p>
    <w:p>
      <w:pPr>
        <w:pStyle w:val="Heading1"/>
        <w:spacing w:after="150" w:before="300"/>
      </w:pPr>
      <w:r>
        <w:rPr>
          <w:b/>
          <w:bCs/>
          <w:color w:val="0F172A"/>
          <w:sz w:val="26"/>
          <w:szCs w:val="26"/>
        </w:rPr>
        <w:t xml:space="preserve">1. Problem Statement</w:t>
      </w:r>
    </w:p>
    <w:p>
      <w:pPr>
        <w:spacing w:after="150"/>
      </w:pPr>
      <w:r>
        <w:t xml:space="preserve">Grading handwritten answer sheets is a manual, slow, error-prone process. A teacher has to hold a printed question paper in one hand and a student's handwritten answer sheet in the other, cross-referencing every question number, hunting for where an answer starts and ends, and judging quality — all without any tool support.</w:t>
      </w:r>
    </w:p>
    <w:p>
      <w:pPr>
        <w:spacing w:after="150"/>
      </w:pPr>
      <w:r>
        <w:t xml:space="preserve">This gets harder in exactly the situations that happen constantly in real exams: a student answers questions out of order, skips one entirely, or writes an answer that spills onto a later page. There's no fast way to see, at a glance, which question maps to which block of handwriting, or which questions were left blank.</w:t>
      </w:r>
    </w:p>
    <w:p>
      <w:pPr>
        <w:spacing w:after="150"/>
      </w:pPr>
      <w:r>
        <w:rPr>
          <w:b/>
          <w:bCs/>
        </w:rPr>
        <w:t xml:space="preserve">The core problem is the lack of an automated bridge between a printed question paper and a handwritten answer sheet — every check today is manual, visual, and slow.</w:t>
      </w:r>
    </w:p>
    <w:p>
      <w:pPr>
        <w:pStyle w:val="Heading1"/>
        <w:spacing w:after="150" w:before="300"/>
      </w:pPr>
      <w:r>
        <w:rPr>
          <w:b/>
          <w:bCs/>
          <w:color w:val="0F172A"/>
          <w:sz w:val="26"/>
          <w:szCs w:val="26"/>
        </w:rPr>
        <w:t xml:space="preserve">2. Target Users</w:t>
      </w:r>
    </w:p>
    <w:p>
      <w:pPr>
        <w:pStyle w:val="Heading2"/>
        <w:spacing w:after="120" w:before="240"/>
      </w:pPr>
      <w:r>
        <w:rPr>
          <w:b/>
          <w:bCs/>
          <w:color w:val="0F172A"/>
          <w:sz w:val="22"/>
          <w:szCs w:val="22"/>
        </w:rPr>
        <w:t xml:space="preserve">Primary user — Teacher / Evaluator</w:t>
      </w:r>
    </w:p>
    <w:p>
      <w:pPr>
        <w:pStyle w:val="ListParagraph"/>
        <w:numPr>
          <w:ilvl w:val="0"/>
          <w:numId w:val="2"/>
        </w:numPr>
        <w:spacing w:after="90"/>
      </w:pPr>
      <w:r>
        <w:t xml:space="preserve">Uploads one question paper and one student's answer sheet at a time, reviews the results, then repeats for the next student.</w:t>
      </w:r>
    </w:p>
    <w:p>
      <w:pPr>
        <w:pStyle w:val="ListParagraph"/>
        <w:numPr>
          <w:ilvl w:val="0"/>
          <w:numId w:val="2"/>
        </w:numPr>
        <w:spacing w:after="90"/>
      </w:pPr>
      <w:r>
        <w:t xml:space="preserve">Opens the AI Teacher's Toolkit from inside the VedaAI platform they're already working in — the mockup shows a signed-in teacher (name and school visible in the sidebar). This feature does not add its own login: see Section 8 and the Security &amp; Access Document for how that reconciles with the assignment's “no authentication” constraint.</w:t>
      </w:r>
    </w:p>
    <w:p>
      <w:pPr>
        <w:pStyle w:val="ListParagraph"/>
        <w:numPr>
          <w:ilvl w:val="0"/>
          <w:numId w:val="2"/>
        </w:numPr>
        <w:spacing w:after="90"/>
      </w:pPr>
      <w:r>
        <w:t xml:space="preserve">Comfortable with everyday web apps but not necessarily technical — the interface needs to make a complex AI pipeline feel like a simple three-click tool.</w:t>
      </w:r>
    </w:p>
    <w:p>
      <w:pPr>
        <w:pStyle w:val="Heading1"/>
        <w:spacing w:after="150" w:before="300"/>
      </w:pPr>
      <w:r>
        <w:rPr>
          <w:b/>
          <w:bCs/>
          <w:color w:val="0F172A"/>
          <w:sz w:val="26"/>
          <w:szCs w:val="26"/>
        </w:rPr>
        <w:t xml:space="preserve">3. Product Vision</w:t>
      </w:r>
    </w:p>
    <w:p>
      <w:pPr>
        <w:spacing w:after="150"/>
      </w:pPr>
      <w:r>
        <w:rPr>
          <w:i/>
          <w:iCs/>
        </w:rPr>
        <w:t xml:space="preserve">Upload a question paper and one student's answers — instantly see what was answered, where, and how well, without ever flipping between two documents.</w:t>
      </w:r>
    </w:p>
    <w:p>
      <w:pPr>
        <w:pStyle w:val="Heading1"/>
        <w:spacing w:after="150" w:before="300"/>
      </w:pPr>
      <w:r>
        <w:rPr>
          <w:b/>
          <w:bCs/>
          <w:color w:val="0F172A"/>
          <w:sz w:val="26"/>
          <w:szCs w:val="26"/>
        </w:rPr>
        <w:t xml:space="preserve">4. Core Features</w:t>
      </w:r>
    </w:p>
    <w:p>
      <w:pPr>
        <w:spacing w:after="150"/>
      </w:pPr>
      <w:r>
        <w:t xml:space="preserve">Every feature is tagged Must-have (required for the submission), Should-have (strongly rewarded by the evaluation criteria), or Nice-to-have (valuable, but out of scope for v1).</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2400"/>
        <w:gridCol w:w="5786"/>
        <w:gridCol w:w="1600"/>
      </w:tblGrid>
      <w:tr>
        <w:trPr>
          <w:tblHeader/>
        </w:trPr>
        <w:tc>
          <w:tcPr>
            <w:tcW w:type="dxa" w:w="2400"/>
            <w:shd w:fill="1F1F1F" w:val="clear"/>
            <w:tcMar>
              <w:top w:type="dxa" w:w="80"/>
              <w:left w:type="dxa" w:w="100"/>
              <w:bottom w:type="dxa" w:w="80"/>
              <w:right w:type="dxa" w:w="100"/>
            </w:tcMar>
          </w:tcPr>
          <w:p>
            <w:pPr>
              <w:jc w:val="left"/>
            </w:pPr>
            <w:r>
              <w:rPr>
                <w:b/>
                <w:bCs/>
                <w:i w:val="false"/>
                <w:iCs w:val="false"/>
                <w:color w:val="FFFFFF"/>
                <w:sz w:val="19"/>
                <w:szCs w:val="19"/>
              </w:rPr>
              <w:t xml:space="preserve">Feature</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Description</w:t>
            </w:r>
          </w:p>
        </w:tc>
        <w:tc>
          <w:tcPr>
            <w:tcW w:type="dxa" w:w="1600"/>
            <w:shd w:fill="1F1F1F" w:val="clear"/>
            <w:tcMar>
              <w:top w:type="dxa" w:w="80"/>
              <w:left w:type="dxa" w:w="100"/>
              <w:bottom w:type="dxa" w:w="80"/>
              <w:right w:type="dxa" w:w="100"/>
            </w:tcMar>
          </w:tcPr>
          <w:p>
            <w:pPr>
              <w:jc w:val="left"/>
            </w:pPr>
            <w:r>
              <w:rPr>
                <w:b/>
                <w:bCs/>
                <w:i w:val="false"/>
                <w:iCs w:val="false"/>
                <w:color w:val="FFFFFF"/>
                <w:sz w:val="19"/>
                <w:szCs w:val="19"/>
              </w:rPr>
              <w:t xml:space="preserve">Priority</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Upload question paper</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Accept a question paper as PDF or images, with client-side validation on type and size.</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Upload answer sheet</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Accept one student's handwritten answer sheet as PDF or images.</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Processing progress</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Multi-stage progress indicator showing each real processing step as it completes.</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extraction</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Extract every question in the original printed order; labelled sub-parts (11(a), 11(b)) are treated as separate entries with numbering preserved.</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Handwritten answer extraction</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OCR each handwritten answer block and record exactly where it sits on the page (bounding box).</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Answer-to-question mapping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Match each extracted answer to its question, primarily by any visible question-number label, with a content/order fallback for unlabeled or ambiguous handwriting.</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Out-of-order handling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Correctly map answers even when they weren't written in question order.</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Unanswered detection</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Flag any question with no matching answer, rather than leaving it ambiguous.</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Unmatched answer detection</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Flag any handwriting block that doesn't correspond to any known question, for manual teacher review.</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Side-by-side display</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list on one side, answer sheet viewer on the other, both visible together.</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Click-to-highlight</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Clicking a question highlights the exact region of the answer sheet where that answer was found, and jumps to the right page.</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Multi-page answers</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An answer that spans more than one page highlights a region on every page it appears on.</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Must-have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AI grading</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Per-question score and correct/partial/incorrect judgement, generated by the AI model.</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Should-have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Per-question feedback (inline)</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 short AI-written comment on each answer, shown inline when the teacher expands that question, per the v2.0 mockup.</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Should-have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Grading summary</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An overall score and general feedback across the whole answer sheet.</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Should-have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Batch multi-student processing</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Process many students' answer sheets against the same question paper in one run.</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Nice-to-have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Exportable graded report</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Download a PDF summarizing questions, answers, and grades.</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Nice-to-have</w:t>
            </w:r>
          </w:p>
        </w:tc>
      </w:tr>
      <w:tr>
        <w:tc>
          <w:tcPr>
            <w:tcW w:type="dxa" w:w="2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Manual grade override</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Let the teacher adjust an AI-assigned score.</w:t>
            </w:r>
          </w:p>
        </w:tc>
        <w:tc>
          <w:tcPr>
            <w:tcW w:type="dxa" w:w="1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Nice-to-have</w:t>
            </w:r>
          </w:p>
        </w:tc>
      </w:tr>
      <w:tr>
        <w:tc>
          <w:tcPr>
            <w:tcW w:type="dxa" w:w="2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Multi-language support</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Extract and grade question papers/answers in languages beyond English.</w:t>
            </w:r>
          </w:p>
        </w:tc>
        <w:tc>
          <w:tcPr>
            <w:tcW w:type="dxa" w:w="1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Nice-to-have</w:t>
            </w:r>
          </w:p>
        </w:tc>
      </w:tr>
    </w:tbl>
    <w:p>
      <w:pPr>
        <w:pStyle w:val="Heading1"/>
        <w:spacing w:after="150" w:before="300"/>
      </w:pPr>
      <w:r>
        <w:rPr>
          <w:b/>
          <w:bCs/>
          <w:color w:val="0F172A"/>
          <w:sz w:val="26"/>
          <w:szCs w:val="26"/>
        </w:rPr>
        <w:t xml:space="preserve">5. App Flow</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500"/>
        <w:gridCol w:w="3586"/>
      </w:tblGrid>
      <w:tr>
        <w:trPr>
          <w:tblHeader/>
        </w:trPr>
        <w:tc>
          <w:tcPr>
            <w:tcW w:type="dxa" w:w="700"/>
            <w:shd w:fill="1F1F1F" w:val="clear"/>
            <w:tcMar>
              <w:top w:type="dxa" w:w="80"/>
              <w:left w:type="dxa" w:w="100"/>
              <w:bottom w:type="dxa" w:w="80"/>
              <w:right w:type="dxa" w:w="100"/>
            </w:tcMar>
          </w:tcPr>
          <w:p>
            <w:pPr>
              <w:jc w:val="left"/>
            </w:pPr>
            <w:r>
              <w:rPr>
                <w:b/>
                <w:bCs/>
                <w:i w:val="false"/>
                <w:iCs w:val="false"/>
                <w:color w:val="FFFFFF"/>
                <w:sz w:val="19"/>
                <w:szCs w:val="19"/>
              </w:rPr>
              <w:t xml:space="preserve">Step</w:t>
            </w:r>
          </w:p>
        </w:tc>
        <w:tc>
          <w:tcPr>
            <w:tcW w:type="dxa" w:w="2000"/>
            <w:shd w:fill="1F1F1F" w:val="clear"/>
            <w:tcMar>
              <w:top w:type="dxa" w:w="80"/>
              <w:left w:type="dxa" w:w="100"/>
              <w:bottom w:type="dxa" w:w="80"/>
              <w:right w:type="dxa" w:w="100"/>
            </w:tcMar>
          </w:tcPr>
          <w:p>
            <w:pPr>
              <w:jc w:val="left"/>
            </w:pPr>
            <w:r>
              <w:rPr>
                <w:b/>
                <w:bCs/>
                <w:i w:val="false"/>
                <w:iCs w:val="false"/>
                <w:color w:val="FFFFFF"/>
                <w:sz w:val="19"/>
                <w:szCs w:val="19"/>
              </w:rPr>
              <w:t xml:space="preserve">Screen</w:t>
            </w:r>
          </w:p>
        </w:tc>
        <w:tc>
          <w:tcPr>
            <w:tcW w:type="dxa" w:w="3500"/>
            <w:shd w:fill="1F1F1F" w:val="clear"/>
            <w:tcMar>
              <w:top w:type="dxa" w:w="80"/>
              <w:left w:type="dxa" w:w="100"/>
              <w:bottom w:type="dxa" w:w="80"/>
              <w:right w:type="dxa" w:w="100"/>
            </w:tcMar>
          </w:tcPr>
          <w:p>
            <w:pPr>
              <w:jc w:val="left"/>
            </w:pPr>
            <w:r>
              <w:rPr>
                <w:b/>
                <w:bCs/>
                <w:i w:val="false"/>
                <w:iCs w:val="false"/>
                <w:color w:val="FFFFFF"/>
                <w:sz w:val="19"/>
                <w:szCs w:val="19"/>
              </w:rPr>
              <w:t xml:space="preserve">Action</w:t>
            </w:r>
          </w:p>
        </w:tc>
        <w:tc>
          <w:tcPr>
            <w:tcW w:type="dxa" w:w="3586"/>
            <w:shd w:fill="1F1F1F" w:val="clear"/>
            <w:tcMar>
              <w:top w:type="dxa" w:w="80"/>
              <w:left w:type="dxa" w:w="100"/>
              <w:bottom w:type="dxa" w:w="80"/>
              <w:right w:type="dxa" w:w="100"/>
            </w:tcMar>
          </w:tcPr>
          <w:p>
            <w:pPr>
              <w:jc w:val="left"/>
            </w:pPr>
            <w:r>
              <w:rPr>
                <w:b/>
                <w:bCs/>
                <w:i w:val="false"/>
                <w:iCs w:val="false"/>
                <w:color w:val="FFFFFF"/>
                <w:sz w:val="19"/>
                <w:szCs w:val="19"/>
              </w:rPr>
              <w:t xml:space="preserve">Result / Next</w:t>
            </w:r>
          </w:p>
        </w:tc>
      </w:tr>
      <w:tr>
        <w:tc>
          <w:tcPr>
            <w:tcW w:type="dxa" w:w="7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w:t>
            </w:r>
          </w:p>
        </w:tc>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Upload</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Open AI Teacher's Toolkit from the VedaAI sidebar, then drag or browse in the question paper and the answer sheet (PDF/images).</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Both files are validated and previewed; the Start Mapping button becomes active.</w:t>
            </w:r>
          </w:p>
        </w:tc>
      </w:tr>
      <w:tr>
        <w:tc>
          <w:tcPr>
            <w:tcW w:type="dxa" w:w="7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2</w:t>
            </w:r>
          </w:p>
        </w:tc>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Processing</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Click Start Mapping.</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 4-stage progress sequence advances through: reading question paper → reading handwriting → matching answers → grading, shown as a centered “Extracting…” state.</w:t>
            </w:r>
          </w:p>
        </w:tc>
      </w:tr>
      <w:tr>
        <w:tc>
          <w:tcPr>
            <w:tcW w:type="dxa" w:w="7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3</w:t>
            </w:r>
          </w:p>
        </w:tc>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Results — Questions panel</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View the extracted question list in original printed order, in a collapsed-sidebar layout that gives the workspace full width.</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Each question shows an Answered/Unanswered badge and, once graded, a score badge.</w:t>
            </w:r>
          </w:p>
        </w:tc>
      </w:tr>
      <w:tr>
        <w:tc>
          <w:tcPr>
            <w:tcW w:type="dxa" w:w="7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4</w:t>
            </w:r>
          </w:p>
        </w:tc>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Results — Answer Sheet panel</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View the answer sheet rendered page by page alongside the question list, with zoom and page controls.</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Pages are scrollable independently of the question list.</w:t>
            </w:r>
          </w:p>
        </w:tc>
      </w:tr>
      <w:tr>
        <w:tc>
          <w:tcPr>
            <w:tcW w:type="dxa" w:w="7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5</w:t>
            </w:r>
          </w:p>
        </w:tc>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Click a question</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Select any question in the list.</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The answer panel scrolls to the correct page and highlights the exact answer region (green); multi-page answers highlight every relevant page.</w:t>
            </w:r>
          </w:p>
        </w:tc>
      </w:tr>
      <w:tr>
        <w:tc>
          <w:tcPr>
            <w:tcW w:type="dxa" w:w="7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6</w:t>
            </w:r>
          </w:p>
        </w:tc>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Expand a question</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Click a question to expand it.</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Its AI Feedback appears inline beneath the question text, in an orange-bordered card.</w:t>
            </w:r>
          </w:p>
        </w:tc>
      </w:tr>
      <w:tr>
        <w:tc>
          <w:tcPr>
            <w:tcW w:type="dxa" w:w="7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7</w:t>
            </w:r>
          </w:p>
        </w:tc>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Review unmatched answers</w:t>
            </w:r>
          </w:p>
        </w:tc>
        <w:tc>
          <w:tcPr>
            <w:tcW w:type="dxa" w:w="35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Open the separate unmatched-answers panel.</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Any handwriting that didn't map to a question is listed here for manual review, each clickable to highlight its region.</w:t>
            </w:r>
          </w:p>
        </w:tc>
      </w:tr>
      <w:tr>
        <w:tc>
          <w:tcPr>
            <w:tcW w:type="dxa" w:w="7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8</w:t>
            </w:r>
          </w:p>
        </w:tc>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Review grading summary</w:t>
            </w:r>
          </w:p>
        </w:tc>
        <w:tc>
          <w:tcPr>
            <w:tcW w:type="dxa" w:w="35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Open the grading summary panel.</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See the total score and an overall AI-written comment on the answer sheet.</w:t>
            </w:r>
          </w:p>
        </w:tc>
      </w:tr>
    </w:tbl>
    <w:p>
      <w:pPr>
        <w:pStyle w:val="Heading1"/>
        <w:spacing w:after="150" w:before="300"/>
      </w:pPr>
      <w:r>
        <w:rPr>
          <w:b/>
          <w:bCs/>
          <w:color w:val="0F172A"/>
          <w:sz w:val="26"/>
          <w:szCs w:val="26"/>
        </w:rPr>
        <w:t xml:space="preserve">6. Success Metrics</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3000"/>
        <w:gridCol w:w="6786"/>
      </w:tblGrid>
      <w:tr>
        <w:trPr>
          <w:tblHeader/>
        </w:trPr>
        <w:tc>
          <w:tcPr>
            <w:tcW w:type="dxa" w:w="3000"/>
            <w:shd w:fill="1F1F1F" w:val="clear"/>
            <w:tcMar>
              <w:top w:type="dxa" w:w="80"/>
              <w:left w:type="dxa" w:w="100"/>
              <w:bottom w:type="dxa" w:w="80"/>
              <w:right w:type="dxa" w:w="100"/>
            </w:tcMar>
          </w:tcPr>
          <w:p>
            <w:pPr>
              <w:jc w:val="left"/>
            </w:pPr>
            <w:r>
              <w:rPr>
                <w:b/>
                <w:bCs/>
                <w:i w:val="false"/>
                <w:iCs w:val="false"/>
                <w:color w:val="FFFFFF"/>
                <w:sz w:val="19"/>
                <w:szCs w:val="19"/>
              </w:rPr>
              <w:t xml:space="preserve">Metric</w:t>
            </w:r>
          </w:p>
        </w:tc>
        <w:tc>
          <w:tcPr>
            <w:tcW w:type="dxa" w:w="6786"/>
            <w:shd w:fill="1F1F1F" w:val="clear"/>
            <w:tcMar>
              <w:top w:type="dxa" w:w="80"/>
              <w:left w:type="dxa" w:w="100"/>
              <w:bottom w:type="dxa" w:w="80"/>
              <w:right w:type="dxa" w:w="100"/>
            </w:tcMar>
          </w:tcPr>
          <w:p>
            <w:pPr>
              <w:jc w:val="left"/>
            </w:pPr>
            <w:r>
              <w:rPr>
                <w:b/>
                <w:bCs/>
                <w:i w:val="false"/>
                <w:iCs w:val="false"/>
                <w:color w:val="FFFFFF"/>
                <w:sz w:val="19"/>
                <w:szCs w:val="19"/>
              </w:rPr>
              <w:t xml:space="preserve">Why it matters / target</w:t>
            </w:r>
          </w:p>
        </w:tc>
      </w:tr>
      <w:tr>
        <w:tc>
          <w:tcPr>
            <w:tcW w:type="dxa" w:w="3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extraction accuracy</w:t>
            </w:r>
          </w:p>
        </w:tc>
        <w:tc>
          <w:tcPr>
            <w:tcW w:type="dxa" w:w="6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Every question (including sub-parts) is found, in the correct printed order, with numbering preserved — target as close to 100% as achievable on a clean scan.</w:t>
            </w:r>
          </w:p>
        </w:tc>
      </w:tr>
      <w:tr>
        <w:tc>
          <w:tcPr>
            <w:tcW w:type="dxa" w:w="3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Answer mapping accuracy</w:t>
            </w:r>
          </w:p>
        </w:tc>
        <w:tc>
          <w:tcPr>
            <w:tcW w:type="dxa" w:w="6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Answers land on their true question, verified by manual spot-check, including out-of-order cases.</w:t>
            </w:r>
          </w:p>
        </w:tc>
      </w:tr>
      <w:tr>
        <w:tc>
          <w:tcPr>
            <w:tcW w:type="dxa" w:w="3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Highlight accuracy</w:t>
            </w:r>
          </w:p>
        </w:tc>
        <w:tc>
          <w:tcPr>
            <w:tcW w:type="dxa" w:w="6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The highlighted region visually overlaps the actual handwritten answer on the page.</w:t>
            </w:r>
          </w:p>
        </w:tc>
      </w:tr>
      <w:tr>
        <w:tc>
          <w:tcPr>
            <w:tcW w:type="dxa" w:w="3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Unanswered/unmatched detection</w:t>
            </w:r>
          </w:p>
        </w:tc>
        <w:tc>
          <w:tcPr>
            <w:tcW w:type="dxa" w:w="6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No unanswered question is missed; no unmatched answer is silently force-matched to the wrong question.</w:t>
            </w:r>
          </w:p>
        </w:tc>
      </w:tr>
      <w:tr>
        <w:tc>
          <w:tcPr>
            <w:tcW w:type="dxa" w:w="3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End-to-end processing time</w:t>
            </w:r>
          </w:p>
        </w:tc>
        <w:tc>
          <w:tcPr>
            <w:tcW w:type="dxa" w:w="6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One question paper + one answer sheet processes in well under a minute for a typical exam length.</w:t>
            </w:r>
          </w:p>
        </w:tc>
      </w:tr>
    </w:tbl>
    <w:p>
      <w:pPr>
        <w:pStyle w:val="Heading1"/>
        <w:spacing w:after="150" w:before="300"/>
      </w:pPr>
      <w:r>
        <w:rPr>
          <w:b/>
          <w:bCs/>
          <w:color w:val="0F172A"/>
          <w:sz w:val="26"/>
          <w:szCs w:val="26"/>
        </w:rPr>
        <w:t xml:space="preserve">7. What the MVP (Version 1) Looks Like</w:t>
      </w:r>
    </w:p>
    <w:p>
      <w:pPr>
        <w:spacing w:after="150"/>
      </w:pPr>
      <w:r>
        <w:t xml:space="preserve">The MVP is the smallest version that fully solves the core evaluation criteria: accurate extraction, accurate mapping, correct highlighting, and sound edge-case handling. It includes:</w:t>
      </w:r>
    </w:p>
    <w:p>
      <w:pPr>
        <w:pStyle w:val="ListParagraph"/>
        <w:numPr>
          <w:ilvl w:val="0"/>
          <w:numId w:val="2"/>
        </w:numPr>
        <w:spacing w:after="90"/>
      </w:pPr>
      <w:r>
        <w:t xml:space="preserve">Single question paper + single answer sheet upload (PDF or images).</w:t>
      </w:r>
    </w:p>
    <w:p>
      <w:pPr>
        <w:pStyle w:val="ListParagraph"/>
        <w:numPr>
          <w:ilvl w:val="0"/>
          <w:numId w:val="2"/>
        </w:numPr>
        <w:spacing w:after="90"/>
      </w:pPr>
      <w:r>
        <w:t xml:space="preserve">Full core pipeline: question extraction → answer extraction → mapping → highlighting.</w:t>
      </w:r>
    </w:p>
    <w:p>
      <w:pPr>
        <w:pStyle w:val="ListParagraph"/>
        <w:numPr>
          <w:ilvl w:val="0"/>
          <w:numId w:val="2"/>
        </w:numPr>
        <w:spacing w:after="90"/>
      </w:pPr>
      <w:r>
        <w:t xml:space="preserve">Unanswered and unmatched detection, both clearly surfaced in the UI.</w:t>
      </w:r>
    </w:p>
    <w:p>
      <w:pPr>
        <w:pStyle w:val="ListParagraph"/>
        <w:numPr>
          <w:ilvl w:val="0"/>
          <w:numId w:val="2"/>
        </w:numPr>
        <w:spacing w:after="90"/>
      </w:pPr>
      <w:r>
        <w:t xml:space="preserve">AI grading and feedback, clearly labeled as AI-generated rather than a verified rubric result, shown inline per question plus an overall summary.</w:t>
      </w:r>
    </w:p>
    <w:p>
      <w:pPr>
        <w:pStyle w:val="ListParagraph"/>
        <w:numPr>
          <w:ilvl w:val="0"/>
          <w:numId w:val="2"/>
        </w:numPr>
        <w:spacing w:after="90"/>
      </w:pPr>
      <w:r>
        <w:t xml:space="preserve">The VedaAI app shell (sidebar, top bar, breadcrumb) around the toolkit's own screens, with static/placeholder profile and school data — no real accounts system.</w:t>
      </w:r>
    </w:p>
    <w:p>
      <w:pPr>
        <w:pStyle w:val="ListParagraph"/>
        <w:numPr>
          <w:ilvl w:val="0"/>
          <w:numId w:val="2"/>
        </w:numPr>
        <w:spacing w:after="90"/>
      </w:pPr>
      <w:r>
        <w:t xml:space="preserve">In-memory only — no database, results reset on refresh, exactly as the assignment allows.</w:t>
      </w:r>
    </w:p>
    <w:p>
      <w:pPr>
        <w:pStyle w:val="ListParagraph"/>
        <w:numPr>
          <w:ilvl w:val="0"/>
          <w:numId w:val="2"/>
        </w:numPr>
        <w:spacing w:after="90"/>
      </w:pPr>
      <w:r>
        <w:t xml:space="preserve">Deployed to a live, publicly accessible URL on Vercel.</w:t>
      </w:r>
    </w:p>
    <w:p>
      <w:pPr>
        <w:pStyle w:val="Heading1"/>
        <w:spacing w:after="150" w:before="300"/>
      </w:pPr>
      <w:r>
        <w:rPr>
          <w:b/>
          <w:bCs/>
          <w:color w:val="0F172A"/>
          <w:sz w:val="26"/>
          <w:szCs w:val="26"/>
        </w:rPr>
        <w:t xml:space="preserve">8. Deliberately Not Building — Assumptions &amp; Limitations</w:t>
      </w:r>
    </w:p>
    <w:p>
      <w:pPr>
        <w:spacing w:after="150"/>
      </w:pPr>
      <w:r>
        <w:t xml:space="preserve">Stated upfront so they can be copied directly into the submission form's “assumptions and limitations” field.</w:t>
      </w:r>
    </w:p>
    <w:p>
      <w:pPr>
        <w:pStyle w:val="ListParagraph"/>
        <w:numPr>
          <w:ilvl w:val="0"/>
          <w:numId w:val="2"/>
        </w:numPr>
        <w:spacing w:after="90"/>
      </w:pPr>
      <w:r>
        <w:t xml:space="preserve">No login/accounts — anyone with the live link can use the tool, per the assignment's “no authentication required” constraint. The teacher name, avatar, and school shown in the sidebar are static placeholder data matching the provided mockup, not a real signed-in session — see the Security &amp; Access Document.</w:t>
      </w:r>
    </w:p>
    <w:p>
      <w:pPr>
        <w:pStyle w:val="ListParagraph"/>
        <w:numPr>
          <w:ilvl w:val="0"/>
          <w:numId w:val="2"/>
        </w:numPr>
        <w:spacing w:after="90"/>
      </w:pPr>
      <w:r>
        <w:t xml:space="preserve">No database — nothing is saved server-side beyond the life of a single request; refreshing the page clears all results.</w:t>
      </w:r>
    </w:p>
    <w:p>
      <w:pPr>
        <w:pStyle w:val="ListParagraph"/>
        <w:numPr>
          <w:ilvl w:val="0"/>
          <w:numId w:val="2"/>
        </w:numPr>
        <w:spacing w:after="90"/>
      </w:pPr>
      <w:r>
        <w:t xml:space="preserve">No teacher-provided answer key or rubric in v1 — grading is the AI's own best-effort judgement of answer quality, not a verified match against a ground-truth key. This is stated clearly in the UI so grading is never mistaken for an authoritative result.</w:t>
      </w:r>
    </w:p>
    <w:p>
      <w:pPr>
        <w:pStyle w:val="ListParagraph"/>
        <w:numPr>
          <w:ilvl w:val="0"/>
          <w:numId w:val="2"/>
        </w:numPr>
        <w:spacing w:after="90"/>
      </w:pPr>
      <w:r>
        <w:t xml:space="preserve">No batch/multi-student processing in v1 — one question paper and one answer sheet per run.</w:t>
      </w:r>
    </w:p>
    <w:p>
      <w:pPr>
        <w:pStyle w:val="ListParagraph"/>
        <w:numPr>
          <w:ilvl w:val="0"/>
          <w:numId w:val="2"/>
        </w:numPr>
        <w:spacing w:after="90"/>
      </w:pPr>
      <w:r>
        <w:t xml:space="preserve">No manual correction of extracted text or AI-assigned marks in v1.</w:t>
      </w:r>
    </w:p>
    <w:p>
      <w:pPr>
        <w:pStyle w:val="ListParagraph"/>
        <w:numPr>
          <w:ilvl w:val="0"/>
          <w:numId w:val="2"/>
        </w:numPr>
        <w:spacing w:after="90"/>
      </w:pPr>
      <w:r>
        <w:t xml:space="preserve">Assumes reasonably legible handwriting and a reasonably clean scan or photo — very poor image quality will reduce extraction accuracy, which is a limitation of any handwriting-OCR approach, not just this tool.</w:t>
      </w:r>
    </w:p>
    <w:p>
      <w:pPr>
        <w:pStyle w:val="ListParagraph"/>
        <w:numPr>
          <w:ilvl w:val="0"/>
          <w:numId w:val="2"/>
        </w:numPr>
        <w:spacing w:after="90"/>
      </w:pPr>
      <w:r>
        <w:t xml:space="preserve">Assumes question numbering in the printed paper is machine-readable (printed text, not handwritten annotations on the question paper itself).</w:t>
      </w:r>
    </w:p>
    <w:p>
      <w:pPr>
        <w:pStyle w:val="ListParagraph"/>
        <w:numPr>
          <w:ilvl w:val="0"/>
          <w:numId w:val="2"/>
        </w:numPr>
        <w:spacing w:after="90"/>
      </w:pPr>
      <w:r>
        <w:t xml:space="preserve">English-language content is assumed for v1.</w:t>
      </w:r>
    </w:p>
    <w:p>
      <w:pPr>
        <w:pStyle w:val="ListParagraph"/>
        <w:numPr>
          <w:ilvl w:val="0"/>
          <w:numId w:val="2"/>
        </w:numPr>
        <w:spacing w:after="90"/>
      </w:pPr>
      <w:r>
        <w:t xml:space="preserve">The surrounding VedaAI sidebar/top-bar shell is treated as existing platform chrome to match visually — rebuilding VedaAI's other sections (Home, My Classroom, Assignments, My Library) is out of scope; only their nav entries are rendered.</w:t>
      </w:r>
    </w:p>
    <w:p>
      <w:pPr>
        <w:pBdr>
          <w:top w:val="single" w:color="E2E8F0" w:sz="6" w:space="8"/>
        </w:pBdr>
        <w:spacing w:before="400"/>
      </w:pPr>
      <w:r>
        <w:rPr>
          <w:i/>
          <w:iCs/>
          <w:color w:val="64748B"/>
          <w:sz w:val="18"/>
          <w:szCs w:val="18"/>
        </w:rPr>
        <w:t xml:space="preserve">This PRD is the foundation document. Next: Technical Architecture, Security &amp; Access, Frontend Specification, and Feature Ticket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2026-08-26T05:41:52.862Z</dcterms:created>
  <dcterms:modified xsi:type="dcterms:W3CDTF">2026-08-26T05:41:52.863Z</dcterms:modified>
</cp:coreProperties>
</file>

<file path=docProps/custom.xml><?xml version="1.0" encoding="utf-8"?>
<Properties xmlns="http://schemas.openxmlformats.org/officeDocument/2006/custom-properties" xmlns:vt="http://schemas.openxmlformats.org/officeDocument/2006/docPropsVTypes"/>
</file>