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9ED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color w:val="000000"/>
          <w:rtl w:val="0"/>
        </w:rPr>
        <w:t xml:space="preserve">Explaining Some main keywords in python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2"/>
          <w:szCs w:val="22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bookmarkStart w:colFirst="0" w:colLast="0" w:name="_goxd7kpxzjw3" w:id="1"/>
      <w:bookmarkEnd w:id="1"/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ff"/>
          <w:rtl w:val="0"/>
        </w:rPr>
        <w:t xml:space="preserve">Marim Mohamed Goda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-385762</wp:posOffset>
            </wp:positionH>
            <wp:positionV relativeFrom="paragraph">
              <wp:posOffset>495300</wp:posOffset>
            </wp:positionV>
            <wp:extent cx="6710363" cy="2990850"/>
            <wp:effectExtent b="38100" l="38100" r="38100" t="3810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299085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7fhf7mb2kv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hju0a9ji2e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5my72nsuql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nfbkkus6kf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r7x5su9acw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913jyeb6am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36"/>
          <w:szCs w:val="36"/>
          <w:u w:val="single"/>
        </w:rPr>
      </w:pPr>
      <w:bookmarkStart w:colFirst="0" w:colLast="0" w:name="_ezioxomjx0vv" w:id="8"/>
      <w:bookmarkEnd w:id="8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This document is going to explain a small brief for each keyword in this table, to help us identify the main usage for each one.</w:t>
      </w:r>
    </w:p>
    <w:p w:rsidR="00000000" w:rsidDel="00000000" w:rsidP="00000000" w:rsidRDefault="00000000" w:rsidRPr="00000000" w14:paraId="0000000D">
      <w:pPr>
        <w:pStyle w:val="Heading1"/>
        <w:rPr>
          <w:rFonts w:ascii="Arial" w:cs="Arial" w:eastAsia="Arial" w:hAnsi="Arial"/>
          <w:u w:val="single"/>
        </w:rPr>
      </w:pPr>
      <w:bookmarkStart w:colFirst="0" w:colLast="0" w:name="_1qg3ywsz86vo" w:id="9"/>
      <w:bookmarkEnd w:id="9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Python Keywords: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False : it is a boolean value that represents a false value or zero integer.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True : it is a boolean value that represents a true value or one integer.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None : it express the empty value or nulls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And : it applies the same operation of and logic gates that return one or true only if all cases are true.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As : used in aliasing when importing a library in modified term to facilitate calling it.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Assert : it is used during the test of a condition.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Break : it is used when it need to get out from a specific block of code and go to other block.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Class : keyword used to define a class.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Continue : it is used to when it needs to skip this iteration and go to the next one.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Def : it is used when it needs to define a function.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Del : it is used when it needs to delete a specific attribute or an item.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Elif : it is a combination between else if its condition came after if condition and apply if condition is false.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Else : last condition that applies when if and elif conditions are false.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Finally: its role is applied after trying to cleanup the code.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For : used in looping 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From : specify what model you are going to import from it.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Global : used in declaring a global variable.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If : the first statement condition or the starting point of applying the conditions.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Import : used to call the module that you need.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 : check if the membership is in a sequence or not.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Is : see the identity of the object.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Lambda : it is used when in need to make an anonymous function.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Nonlocal : declares a variable in outer function.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Not : it applies the same operation of not logic gates 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Or :  it applies the same operation of or logic gates 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Pass : it's like a placeholder.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Raise : it is used to raise an exception.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Return : it is used in return for the value of a function.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Try : define a block of code and test it.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While : used in looping with a condition.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With :  Simplifies resource management 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0" w:before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Yield :  Pauses and resumes generator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10"/>
    <w:bookmarkEnd w:id="10"/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4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cantSplit w:val="0"/>
        <w:trHeight w:val="255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pStyle w:val="Heading5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11"/>
          <w:bookmarkEnd w:id="11"/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0" w:hRule="atLeast"/>
        <w:tblHeader w:val="0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3d85c6" w:space="0" w:sz="8" w:val="single"/>
          </w:tcBorders>
          <w:shd w:fill="3d85c6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pStyle w:val="Heading4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11"/>
          <w:bookmarkEnd w:id="11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3d85c6" w:space="0" w:sz="8" w:val="single"/>
            <w:left w:color="3d85c6" w:space="0" w:sz="8" w:val="single"/>
            <w:bottom w:color="3d85c6" w:space="0" w:sz="8" w:val="single"/>
            <w:right w:color="3d85c6" w:space="0" w:sz="8" w:val="single"/>
          </w:tcBorders>
          <w:shd w:fill="3d85c6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13"/>
    <w:bookmarkEnd w:id="1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jc w:val="right"/>
      <w:rPr>
        <w:sz w:val="12"/>
        <w:szCs w:val="12"/>
      </w:rPr>
    </w:pP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