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주식 차트 학습 콘텐츠 자료조사</w:t>
      </w:r>
    </w:p>
    <w:p>
      <w:pPr>
        <w:pStyle w:val="Subtitle"/>
      </w:pPr>
      <w:r>
        <w:t>차트 읽기와 패턴 해석 및 교육과정 설계</w:t>
      </w:r>
    </w:p>
    <w:p>
      <w:r>
        <w:t>조사 기준일  2026년 10월 1일</w:t>
      </w:r>
    </w:p>
    <w:p>
      <w:pPr>
        <w:pStyle w:val="Heading2"/>
      </w:pPr>
      <w:r>
        <w:t>문서의 목적과 범위</w:t>
      </w:r>
    </w:p>
    <w:p>
      <w:r>
        <w:t>주식 투자 입문자부터 중급 학습자를 위한 차트 교육 콘텐츠의 기초 자료다. 차트 종류와 읽는 법, 모양별 전통적 해석, 거래량과 보조지표, 데이터 설정, 검증과 위험관리를 다룬다. 각 개념을 교육과정과 실습으로 연결할 수 있도록 비교표와 제작 기준을 제안한다.</w:t>
      </w:r>
    </w:p>
    <w:p>
      <w:r>
        <w:t>교육 순서는 가격과 거래량 읽기, 추세와 위치 판단, 패턴과 보조지표, 실패 사례와 검증으로 구성한다. 같은 모양이라도 발생 위치와 시장 환경에 따라 의미가 달라지므로 패턴마다 확인 조건과 무효화 조건을 함께 가르친다.</w:t>
      </w:r>
    </w:p>
    <w:p>
      <w:pPr>
        <w:pStyle w:val="Heading2"/>
      </w:pPr>
      <w:r>
        <w:t>근거를 읽는 방법</w:t>
      </w:r>
    </w:p>
    <w:p>
      <w:pPr>
        <w:pStyle w:val="ListBullet"/>
      </w:pPr>
      <w:r>
        <w:t>정의와 계산은 데이터 또는 도구의 구성 원리를 설명한다.</w:t>
      </w:r>
    </w:p>
    <w:p>
      <w:pPr>
        <w:pStyle w:val="ListBullet"/>
      </w:pPr>
      <w:r>
        <w:t>전통적 해석은 기술적 분석에서 통용되는 설명이다. 특정 확률로 입증된 예측을 뜻하지 않는다.</w:t>
      </w:r>
    </w:p>
    <w:p>
      <w:pPr>
        <w:pStyle w:val="ListBullet"/>
      </w:pPr>
      <w:r>
        <w:t>실증 연구는 연구 대상과 기간, 거래비용과 검증 방법 안에서 해석한다.</w:t>
      </w:r>
    </w:p>
    <w:p>
      <w:pPr>
        <w:pStyle w:val="ListBullet"/>
      </w:pPr>
      <w:r>
        <w:t>교육과정과 실습 구성은 조사 결과를 바탕으로 한 설계 제안이다.</w:t>
      </w:r>
    </w:p>
    <w:p>
      <w:r>
        <w:t>특정 패턴의 성공률을 제시하려면 패턴 정의, 대상 시장, 표본 기간, 진입과 청산 규칙, 비용 및 표본 외 검증이 필요하다. 한국 주식에 적용할 수익률이나 성공률 수치는 별도 검증 대상으로 남긴다.</w:t>
      </w:r>
    </w:p>
    <w:p>
      <w:pPr>
        <w:pStyle w:val="Heading2"/>
      </w:pPr>
      <w:r>
        <w:t>문서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597"/>
      </w:tblGrid>
      <w:tr>
        <w:trPr>
          <w:cantSplit/>
          <w:tblHeader/>
        </w:trPr>
        <w:tc>
          <w:tcPr>
            <w:tcW w:type="dxa" w:w="2268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부문</w:t>
            </w:r>
          </w:p>
        </w:tc>
        <w:tc>
          <w:tcPr>
            <w:tcW w:type="dxa" w:w="7597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차트 읽기 기초</w:t>
            </w:r>
          </w:p>
        </w:tc>
        <w:tc>
          <w:tcPr>
            <w:tcW w:type="dxa" w:w="75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분류 체계, 차트 종류, 캔들, 시간 단위와 데이터 설정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구조와 패턴</w:t>
            </w:r>
          </w:p>
        </w:tc>
        <w:tc>
          <w:tcPr>
            <w:tcW w:type="dxa" w:w="7597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추세, 지지와 저항, 캔들 패턴, 여러 봉의 패턴, 갭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분석 도구</w:t>
            </w:r>
          </w:p>
        </w:tc>
        <w:tc>
          <w:tcPr>
            <w:tcW w:type="dxa" w:w="75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거래량과 매물대, 보조지표, 심화 주제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검증과 교육 설계</w:t>
            </w:r>
          </w:p>
        </w:tc>
        <w:tc>
          <w:tcPr>
            <w:tcW w:type="dxa" w:w="7597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실증 근거, 위험관리, 12개 모듈, 사례 제작과 평가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참고자료</w:t>
            </w:r>
          </w:p>
        </w:tc>
        <w:tc>
          <w:tcPr>
            <w:tcW w:type="dxa" w:w="75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본문의 자료 번호에 대응하는 클릭 가능한 출처</w:t>
            </w:r>
          </w:p>
        </w:tc>
      </w:tr>
    </w:tbl>
    <w:p/>
    <w:p>
      <w:r>
        <w:br w:type="page"/>
      </w:r>
    </w:p>
    <w:p>
      <w:pPr>
        <w:pStyle w:val="Heading1"/>
      </w:pPr>
      <w:r>
        <w:t>1 차트의 분류와 기본 표시 방식</w:t>
      </w:r>
    </w:p>
    <w:p>
      <w:r>
        <w:t>차트 종류라는 말에는 표시 방식, 집계 기준, 시간 단위, 가격 축과 데이터 설정, 분석 도구가 섞여 있다. 이 다섯 가지를 분리해서 설명하면 학습자가 차트 화면을 체계적으로 이해할 수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4649"/>
      </w:tblGrid>
      <w:tr>
        <w:trPr>
          <w:cantSplit/>
          <w:tblHeader/>
        </w:trPr>
        <w:tc>
          <w:tcPr>
            <w:tcW w:type="dxa" w:w="1701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분류</w:t>
            </w:r>
          </w:p>
        </w:tc>
        <w:tc>
          <w:tcPr>
            <w:tcW w:type="dxa" w:w="3515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결정하는 것</w:t>
            </w:r>
          </w:p>
        </w:tc>
        <w:tc>
          <w:tcPr>
            <w:tcW w:type="dxa" w:w="4649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예시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표시 방식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가격을 어떻게 그리는가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선, OHLC 바, 캔들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집계 기준</w:t>
            </w:r>
          </w:p>
        </w:tc>
        <w:tc>
          <w:tcPr>
            <w:tcW w:type="dxa" w:w="3515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봉 하나를 만드는 기준</w:t>
            </w:r>
          </w:p>
        </w:tc>
        <w:tc>
          <w:tcPr>
            <w:tcW w:type="dxa" w:w="4649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시간, 체결 수, 거래량, 가격 변화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시간 단위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봉 하나의 기간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5분봉, 일봉, 주봉, 월봉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축과 데이터</w:t>
            </w:r>
          </w:p>
        </w:tc>
        <w:tc>
          <w:tcPr>
            <w:tcW w:type="dxa" w:w="3515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가격 비교 기준과 데이터 범위</w:t>
            </w:r>
          </w:p>
        </w:tc>
        <w:tc>
          <w:tcPr>
            <w:tcW w:type="dxa" w:w="4649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선형과 로그, 수정주가, 배당 조정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분석 도구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원자료에 추가하는 계산과 표시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이동평균, 추세선, RSI, 매물대</w:t>
            </w:r>
          </w:p>
        </w:tc>
      </w:tr>
    </w:tbl>
    <w:p/>
    <w:p>
      <w:pPr>
        <w:pStyle w:val="Heading2"/>
      </w:pPr>
      <w:r>
        <w:t>기본 차트의 읽는 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649"/>
        <w:gridCol w:w="3515"/>
      </w:tblGrid>
      <w:tr>
        <w:trPr>
          <w:cantSplit/>
          <w:tblHeader/>
        </w:trPr>
        <w:tc>
          <w:tcPr>
            <w:tcW w:type="dxa" w:w="1701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종류</w:t>
            </w:r>
          </w:p>
        </w:tc>
        <w:tc>
          <w:tcPr>
            <w:tcW w:type="dxa" w:w="4649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구성과 활용</w:t>
            </w:r>
          </w:p>
        </w:tc>
        <w:tc>
          <w:tcPr>
            <w:tcW w:type="dxa" w:w="3515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한계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선 차트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보통 각 기간 종가를 연결한다. 전체 방향과 장기 흐름, 종목 비교에 유용하다.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기간 중 고가와 저가, 움직임의 경로가 생략된다.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OHLC 바</w:t>
            </w:r>
          </w:p>
        </w:tc>
        <w:tc>
          <w:tcPr>
            <w:tcW w:type="dxa" w:w="4649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세로선은 저가부터 고가까지, 왼쪽 눈금은 시가, 오른쪽은 종가다. 네 가격을 간결하게 비교한다.</w:t>
            </w:r>
          </w:p>
        </w:tc>
        <w:tc>
          <w:tcPr>
            <w:tcW w:type="dxa" w:w="3515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처음에는 눈금 읽기가 낯설 수 있다.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캔들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몸통은 시가와 종가 사이, 꼬리는 고가와 저가까지 표시한다. 가격 관계와 단기 패턴을 읽는다.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색만 보고 전일 대비 상승과 하락으로 오해하기 쉽다.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영역과 기준선</w:t>
            </w:r>
          </w:p>
        </w:tc>
        <w:tc>
          <w:tcPr>
            <w:tcW w:type="dxa" w:w="4649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선 아래를 채우거나 기준값 위아래를 구분한다. 기준가격 대비 위치를 파악한다.</w:t>
            </w:r>
          </w:p>
        </w:tc>
        <w:tc>
          <w:tcPr>
            <w:tcW w:type="dxa" w:w="3515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채색이 새로운 데이터를 뜻하지는 않는다.</w:t>
            </w:r>
          </w:p>
        </w:tc>
      </w:tr>
    </w:tbl>
    <w:p/>
    <w:p>
      <w:pPr>
        <w:pStyle w:val="Heading2"/>
      </w:pPr>
      <w:r>
        <w:t>교육 적용</w:t>
      </w:r>
    </w:p>
    <w:p>
      <w:r>
        <w:t>입문에서는 선, 바, 캔들을 비교한 뒤 실습 화면은 캔들로 통일한다. 같은 OHLC 자료를 바와 캔들로 바꿔 보여주면 두 표시 방식이 같은 원자료를 사용한다는 점을 이해할 수 있다.</w:t>
      </w:r>
    </w:p>
    <w:p>
      <w:r>
        <w:t>예를 들어 일봉 캔들에 20일 이동평균을 표시한다는 설명에는 집계 단위, 표시 방식, 분석 도구가 각각 들어 있다. 이동평균을 차트 종류와 혼동하지 않도록 한다.</w:t>
      </w:r>
    </w:p>
    <w:p>
      <w:r>
        <w:rPr>
          <w:color w:val="555555"/>
          <w:sz w:val="16"/>
        </w:rPr>
        <w:t>근거 자료  [1] [2]</w:t>
      </w:r>
    </w:p>
    <w:p>
      <w:r>
        <w:br w:type="page"/>
      </w:r>
    </w:p>
    <w:p>
      <w:pPr>
        <w:pStyle w:val="Heading1"/>
      </w:pPr>
      <w:r>
        <w:t>2 변형 차트와 비시간 집계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195"/>
        <w:gridCol w:w="3855"/>
      </w:tblGrid>
      <w:tr>
        <w:trPr>
          <w:cantSplit/>
          <w:tblHeader/>
        </w:trPr>
        <w:tc>
          <w:tcPr>
            <w:tcW w:type="dxa" w:w="1814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종류</w:t>
            </w:r>
          </w:p>
        </w:tc>
        <w:tc>
          <w:tcPr>
            <w:tcW w:type="dxa" w:w="4195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구성과 읽는 법</w:t>
            </w:r>
          </w:p>
        </w:tc>
        <w:tc>
          <w:tcPr>
            <w:tcW w:type="dxa" w:w="3855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확인할 설정과 한계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하이킨아시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실제 OHLC를 가공해 추세를 매끄럽게 표시한다. 연속 봉의 방향을 관찰한다.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표시 가격은 실제 체결가격과 다르다.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렌코</w:t>
            </w:r>
          </w:p>
        </w:tc>
        <w:tc>
          <w:tcPr>
            <w:tcW w:type="dxa" w:w="4195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일정 가격 변화마다 벽돌을 생성한다. 작은 움직임을 줄이고 추세를 관찰한다.</w:t>
            </w:r>
          </w:p>
        </w:tc>
        <w:tc>
          <w:tcPr>
            <w:tcW w:type="dxa" w:w="3855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벽돌 크기에 따라 모양이 달라지고 시간 정보가 약해진다.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포인트 앤 피겨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가격 변화와 반전 기준으로 X와 O 열을 만든다. 돌파와 추세 구조를 읽는다.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박스 크기와 반전 기준에 민감하다.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카기와 라인브레이크</w:t>
            </w:r>
          </w:p>
        </w:tc>
        <w:tc>
          <w:tcPr>
            <w:tcW w:type="dxa" w:w="4195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정해진 가격 반전 조건에 따라 선 또는 블록을 전환한다.</w:t>
            </w:r>
          </w:p>
        </w:tc>
        <w:tc>
          <w:tcPr>
            <w:tcW w:type="dxa" w:w="3855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일반 시간봉과 직접 비교하기 어렵다.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틱 차트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일정 체결 수마다 봉을 만든다. 거래 활동 속도를 관찰한다.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플랫폼의 틱 정의와 제공 데이터 범위를 확인한다.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거래량 차트</w:t>
            </w:r>
          </w:p>
        </w:tc>
        <w:tc>
          <w:tcPr>
            <w:tcW w:type="dxa" w:w="4195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일정 거래량마다 봉을 만든다. 거래 활동을 기준으로 움직임을 비교한다.</w:t>
            </w:r>
          </w:p>
        </w:tc>
        <w:tc>
          <w:tcPr>
            <w:tcW w:type="dxa" w:w="3855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거래가 활발한 시간에는 봉이 더 빨리 생성된다.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레인지 차트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정해진 가격 범위를 기준으로 봉을 만든다. 변동 중심으로 분석한다.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봉 생성 규칙에 따라 같은 원자료도 다르게 보일 수 있다.</w:t>
            </w:r>
          </w:p>
        </w:tc>
      </w:tr>
    </w:tbl>
    <w:p/>
    <w:p>
      <w:pPr>
        <w:pStyle w:val="Heading2"/>
      </w:pPr>
      <w:r>
        <w:t>비표준 차트의 체결가격 문제</w:t>
      </w:r>
    </w:p>
    <w:p>
      <w:r>
        <w:t>하이킨아시나 렌코의 합성 가격으로 매수와 매도를 가정하면 실제 시장에서 재현하기 어려운 백테스트 성과가 나올 수 있다. 차트 관찰용 가격과 주문 체결에 쓰는 실제 가격을 분리해야 한다.</w:t>
      </w:r>
    </w:p>
    <w:p>
      <w:r>
        <w:t>TradingView는 비표준 차트의 합성 OHLC를 사용하는 전략 결과가 실제 시장 조건을 반영하지 못할 수 있다고 설명한다. 하이킨아시의 표준 OHLC 체결 옵션도 실제 사용 설정을 확인해야 한다.</w:t>
      </w:r>
    </w:p>
    <w:p>
      <w:pPr>
        <w:pStyle w:val="Heading2"/>
      </w:pPr>
      <w:r>
        <w:t>실습 제안</w:t>
      </w:r>
    </w:p>
    <w:p>
      <w:pPr>
        <w:pStyle w:val="ListBullet"/>
      </w:pPr>
      <w:r>
        <w:t>같은 종목을 일반 캔들, 하이킨아시, 렌코로 비교한다.</w:t>
      </w:r>
    </w:p>
    <w:p>
      <w:pPr>
        <w:pStyle w:val="ListBullet"/>
      </w:pPr>
      <w:r>
        <w:t>사라진 갭이나 작은 변동, 달라진 고저점을 찾아본다.</w:t>
      </w:r>
    </w:p>
    <w:p>
      <w:pPr>
        <w:pStyle w:val="ListBullet"/>
      </w:pPr>
      <w:r>
        <w:t>렌코의 벽돌 크기를 바꿔 추세 전환 지점이 달라지는지 관찰한다.</w:t>
      </w:r>
    </w:p>
    <w:p>
      <w:pPr>
        <w:pStyle w:val="ListBullet"/>
      </w:pPr>
      <w:r>
        <w:t>합성 가격을 실제 주문가격으로 사용할 때 생기는 문제를 설명하게 한다.</w:t>
      </w:r>
    </w:p>
    <w:p>
      <w:r>
        <w:rPr>
          <w:color w:val="555555"/>
          <w:sz w:val="16"/>
        </w:rPr>
        <w:t>근거 자료  [2] [3] [4]</w:t>
      </w:r>
    </w:p>
    <w:p>
      <w:r>
        <w:br w:type="page"/>
      </w:r>
    </w:p>
    <w:p>
      <w:pPr>
        <w:pStyle w:val="Heading1"/>
      </w:pPr>
      <w:r>
        <w:t>3 캔들과 네 가격의 관계</w:t>
      </w:r>
    </w:p>
    <w:p>
      <w:r>
        <w:t>캔들은 시가 O, 고가 H, 저가 L, 종가 C를 요약한다. 진행 중인 봉의 종가와 고저가는 봉이 마감될 때까지 변할 수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597"/>
      </w:tblGrid>
      <w:tr>
        <w:trPr>
          <w:cantSplit/>
          <w:tblHeader/>
        </w:trPr>
        <w:tc>
          <w:tcPr>
            <w:tcW w:type="dxa" w:w="2268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7597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정의 또는 계산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시가 O</w:t>
            </w:r>
          </w:p>
        </w:tc>
        <w:tc>
          <w:tcPr>
            <w:tcW w:type="dxa" w:w="75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해당 기간의 첫 거래가격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고가 H와 저가 L</w:t>
            </w:r>
          </w:p>
        </w:tc>
        <w:tc>
          <w:tcPr>
            <w:tcW w:type="dxa" w:w="7597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해당 기간에 거래된 최고가격과 최저가격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종가 C</w:t>
            </w:r>
          </w:p>
        </w:tc>
        <w:tc>
          <w:tcPr>
            <w:tcW w:type="dxa" w:w="75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해당 기간의 마지막 거래가격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몸통 길이</w:t>
            </w:r>
          </w:p>
        </w:tc>
        <w:tc>
          <w:tcPr>
            <w:tcW w:type="dxa" w:w="7597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종가와 시가의 차이의 절댓값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전체 범위</w:t>
            </w:r>
          </w:p>
        </w:tc>
        <w:tc>
          <w:tcPr>
            <w:tcW w:type="dxa" w:w="75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고가에서 저가를 뺀 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윗꼬리</w:t>
            </w:r>
          </w:p>
        </w:tc>
        <w:tc>
          <w:tcPr>
            <w:tcW w:type="dxa" w:w="7597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고가에서 시가와 종가 중 큰 값을 뺀 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아랫꼬리</w:t>
            </w:r>
          </w:p>
        </w:tc>
        <w:tc>
          <w:tcPr>
            <w:tcW w:type="dxa" w:w="75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시가와 종가 중 작은 값에서 저가를 뺀 값</w:t>
            </w:r>
          </w:p>
        </w:tc>
      </w:tr>
    </w:tbl>
    <w:p/>
    <w:p>
      <w:pPr>
        <w:pStyle w:val="Heading2"/>
      </w:pPr>
      <w:r>
        <w:t>양봉과 전일 대비 상승의 차이</w:t>
      </w:r>
    </w:p>
    <w:p>
      <w:r>
        <w:t>일반적인 설정에서 양봉은 종가가 시가보다 높고, 음봉은 종가가 시가보다 낮다. 색상과 색을 정하는 기준은 플랫폼 설정에 따라 달라질 수 있으므로 범례를 먼저 확인한다.</w:t>
      </w:r>
    </w:p>
    <w:p>
      <w:r>
        <w:t>예시  전일 종가가 10,000원이고 오늘 시가가 9,500원, 종가가 9,800원이면 오늘은 양봉이다. 그러나 전일 종가 대비 수익률은 마이너스 2%다. 양봉 여부와 전일 대비 수익률은 기준가격이 다르다.</w:t>
      </w:r>
    </w:p>
    <w:p>
      <w:pPr>
        <w:pStyle w:val="Heading2"/>
      </w:pPr>
      <w:r>
        <w:t>봉 하나가 알려주지 않는 것</w:t>
      </w:r>
    </w:p>
    <w:p>
      <w:r>
        <w:t>OHLC만으로는 고가와 저가 중 어느 가격에 먼저 도달했는지 알 수 없다. 같은 캔들도 기간 중 가격 경로가 다를 수 있다. 거래 주체와 의도 역시 봉만으로 확정할 수 없다.</w:t>
      </w:r>
    </w:p>
    <w:p>
      <w:r>
        <w:t>긴 아랫꼬리는 저가보다 높은 가격에서 마감했다는 사실을 보여준다. 이를 기관의 매집이나 특정 세력의 행동으로 단정하는 설명은 관찰과 추정을 혼동한다.</w:t>
      </w:r>
    </w:p>
    <w:p>
      <w:pPr>
        <w:pStyle w:val="Heading2"/>
      </w:pPr>
      <w:r>
        <w:t>기초 문제</w:t>
      </w:r>
    </w:p>
    <w:p>
      <w:pPr>
        <w:pStyle w:val="ListBullet"/>
      </w:pPr>
      <w:r>
        <w:t>OHLC 숫자를 받아 양봉 또는 음봉과 몸통 및 꼬리 길이를 계산한다.</w:t>
      </w:r>
    </w:p>
    <w:p>
      <w:pPr>
        <w:pStyle w:val="ListBullet"/>
      </w:pPr>
      <w:r>
        <w:t>양봉이면서 전일 대비 하락한 사례를 만든다.</w:t>
      </w:r>
    </w:p>
    <w:p>
      <w:pPr>
        <w:pStyle w:val="ListBullet"/>
      </w:pPr>
      <w:r>
        <w:t>같은 OHLC를 가지는 서로 다른 장중 가격 경로 두 개를 그린다.</w:t>
      </w:r>
    </w:p>
    <w:p>
      <w:pPr>
        <w:pStyle w:val="ListBullet"/>
      </w:pPr>
      <w:r>
        <w:t>진행 중인 봉과 마감한 봉을 구분한다.</w:t>
      </w:r>
    </w:p>
    <w:p>
      <w:r>
        <w:rPr>
          <w:color w:val="555555"/>
          <w:sz w:val="16"/>
        </w:rPr>
        <w:t>근거 자료  [1] [5]</w:t>
      </w:r>
    </w:p>
    <w:p>
      <w:r>
        <w:br w:type="page"/>
      </w:r>
    </w:p>
    <w:p>
      <w:pPr>
        <w:pStyle w:val="Heading1"/>
      </w:pPr>
      <w:r>
        <w:t>4 시간 단위와 데이터 설정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649"/>
        <w:gridCol w:w="3402"/>
      </w:tblGrid>
      <w:tr>
        <w:trPr>
          <w:cantSplit/>
          <w:tblHeader/>
        </w:trPr>
        <w:tc>
          <w:tcPr>
            <w:tcW w:type="dxa" w:w="1814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주제</w:t>
            </w:r>
          </w:p>
        </w:tc>
        <w:tc>
          <w:tcPr>
            <w:tcW w:type="dxa" w:w="4649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학습 내용</w:t>
            </w:r>
          </w:p>
        </w:tc>
        <w:tc>
          <w:tcPr>
            <w:tcW w:type="dxa" w:w="3402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실습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일봉과 주봉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주봉 시가는 주의 첫 거래, 종가는 마지막 거래다. 고저가는 주간 극값이다.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일봉 여러 개를 주봉 하나로 합치기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다중 시간대</w:t>
            </w:r>
          </w:p>
        </w:tc>
        <w:tc>
          <w:tcPr>
            <w:tcW w:type="dxa" w:w="4649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주봉 상승 중 일봉 하락이 동시에 나타날 수 있다.</w:t>
            </w:r>
          </w:p>
        </w:tc>
        <w:tc>
          <w:tcPr>
            <w:tcW w:type="dxa" w:w="340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장기 상승 속 단기 조정 찾기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미완성 봉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장중 돌파와 종가 기준 돌파는 서로 다른 사건이다.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장중과 마감 화면 비교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선형 축</w:t>
            </w:r>
          </w:p>
        </w:tc>
        <w:tc>
          <w:tcPr>
            <w:tcW w:type="dxa" w:w="4649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같은 가격 차이를 같은 거리로 표시한다.</w:t>
            </w:r>
          </w:p>
        </w:tc>
        <w:tc>
          <w:tcPr>
            <w:tcW w:type="dxa" w:w="340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1만→2만 원과 5만→6만 원 비교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로그 축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같은 가격 비율을 같은 거리로 표시한다.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1만→2만 원과 5만→10만 원 비교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수정주가</w:t>
            </w:r>
          </w:p>
        </w:tc>
        <w:tc>
          <w:tcPr>
            <w:tcW w:type="dxa" w:w="4649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분할과 병합, 증자 등에 따른 불연속을 조정할 수 있다.</w:t>
            </w:r>
          </w:p>
        </w:tc>
        <w:tc>
          <w:tcPr>
            <w:tcW w:type="dxa" w:w="340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분할 전후 수정과 비수정 비교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배당 조정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가격 변화와 배당을 반영한 장기 성과는 다를 수 있다.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배당 조정 전후 비교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거래시간 범위</w:t>
            </w:r>
          </w:p>
        </w:tc>
        <w:tc>
          <w:tcPr>
            <w:tcW w:type="dxa" w:w="4649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정규장과 시간외 포함 여부가 봉과 거래량에 영향을 준다.</w:t>
            </w:r>
          </w:p>
        </w:tc>
        <w:tc>
          <w:tcPr>
            <w:tcW w:type="dxa" w:w="340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동일 종목의 세션 설정 비교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데이터 출처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거래소 범위, 지연 시세, 누락과 오류를 확인한다.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두 서비스의 같은 날짜 OHLC 비교</w:t>
            </w:r>
          </w:p>
        </w:tc>
      </w:tr>
    </w:tbl>
    <w:p/>
    <w:p>
      <w:pPr>
        <w:pStyle w:val="Heading2"/>
      </w:pPr>
      <w:r>
        <w:t>한국 주식 사례의 확인 사항</w:t>
      </w:r>
    </w:p>
    <w:p>
      <w:r>
        <w:t>권리락, 배당락, 분할 등 기업행동에 따른 가격 변화를 일반적인 매도 압력과 구분한다. 실제 교육 사례를 제작할 때는 해당 날짜의 공시를 함께 확인한다. 수정주가라는 이름만으로 모든 기업행동과 현금배당이 동일하게 반영됐다고 가정하지 않는다.</w:t>
      </w:r>
    </w:p>
    <w:p>
      <w:pPr>
        <w:pStyle w:val="Heading2"/>
      </w:pPr>
      <w:r>
        <w:t>차트마다 남겨야 할 정보</w:t>
      </w:r>
    </w:p>
    <w:p>
      <w:r>
        <w:t>종목명과 코드, 시장 또는 거래소, 관찰 기간, 봉 단위, 선형 또는 로그 축, 수정주가 여부, 배당 조정 여부, 거래시간 범위, 데이터 출처와 조회일을 기록한다. 화면이 달라지는 이유를 설명할 수 있어야 사례를 재현할 수 있다.</w:t>
      </w:r>
    </w:p>
    <w:p>
      <w:r>
        <w:rPr>
          <w:color w:val="555555"/>
          <w:sz w:val="16"/>
        </w:rPr>
        <w:t>근거 자료  [6] [7] [8]</w:t>
      </w:r>
    </w:p>
    <w:p>
      <w:r>
        <w:br w:type="page"/>
      </w:r>
    </w:p>
    <w:p>
      <w:pPr>
        <w:pStyle w:val="Heading1"/>
      </w:pPr>
      <w:r>
        <w:t>5 추세와 지지 저항</w:t>
      </w:r>
    </w:p>
    <w:p>
      <w:r>
        <w:t>패턴 이름을 찾기 전에 어떤 흐름의 어느 위치인지 판단한다. 의미 있는 고점과 저점의 선택 기준은 일관되게 적용해야 하며, 한 번의 반등이나 한 개의 긴 봉만으로 추세 전환을 확정하지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422"/>
        <w:gridCol w:w="3628"/>
      </w:tblGrid>
      <w:tr>
        <w:trPr>
          <w:cantSplit/>
          <w:tblHeader/>
        </w:trPr>
        <w:tc>
          <w:tcPr>
            <w:tcW w:type="dxa" w:w="1814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개념</w:t>
            </w:r>
          </w:p>
        </w:tc>
        <w:tc>
          <w:tcPr>
            <w:tcW w:type="dxa" w:w="4422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관찰 내용</w:t>
            </w:r>
          </w:p>
        </w:tc>
        <w:tc>
          <w:tcPr>
            <w:tcW w:type="dxa" w:w="3628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흔한 오해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상승 추세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고점과 저점이 높아지는 구조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양봉이 연속이면 항상 상승 추세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하락 추세</w:t>
            </w:r>
          </w:p>
        </w:tc>
        <w:tc>
          <w:tcPr>
            <w:tcW w:type="dxa" w:w="442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고점과 저점이 낮아지는 구조</w:t>
            </w:r>
          </w:p>
        </w:tc>
        <w:tc>
          <w:tcPr>
            <w:tcW w:type="dxa" w:w="362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한 번 반등하면 추세 전환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횡보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일정 범위에서 방향성이 뚜렷하지 않음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횡보는 항상 상승 전 매집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지지</w:t>
            </w:r>
          </w:p>
        </w:tc>
        <w:tc>
          <w:tcPr>
            <w:tcW w:type="dxa" w:w="442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이전에 하락이 멈추거나 매수 반응이 나타난 가격대</w:t>
            </w:r>
          </w:p>
        </w:tc>
        <w:tc>
          <w:tcPr>
            <w:tcW w:type="dxa" w:w="362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특정 가격에서 반드시 반등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저항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이전에 상승이 멈추거나 매도 반응이 나타난 가격대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도달하면 반드시 하락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추세선과 채널</w:t>
            </w:r>
          </w:p>
        </w:tc>
        <w:tc>
          <w:tcPr>
            <w:tcW w:type="dxa" w:w="442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선택한 고점과 저점을 연결한 선과 경계</w:t>
            </w:r>
          </w:p>
        </w:tc>
        <w:tc>
          <w:tcPr>
            <w:tcW w:type="dxa" w:w="362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선을 한 번 넘으면 추세 확정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돌파와 이탈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기존 범위를 위나 아래로 벗어남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순간적인 돌파가 확정 신호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재시험</w:t>
            </w:r>
          </w:p>
        </w:tc>
        <w:tc>
          <w:tcPr>
            <w:tcW w:type="dxa" w:w="442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돌파했던 가격대로 다시 접근</w:t>
            </w:r>
          </w:p>
        </w:tc>
        <w:tc>
          <w:tcPr>
            <w:tcW w:type="dxa" w:w="362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돌파 뒤 반드시 재시험 발생</w:t>
            </w:r>
          </w:p>
        </w:tc>
      </w:tr>
    </w:tbl>
    <w:p/>
    <w:p>
      <w:pPr>
        <w:pStyle w:val="Heading2"/>
      </w:pPr>
      <w:r>
        <w:t>가격대와 조건으로 설명하기</w:t>
      </w:r>
    </w:p>
    <w:p>
      <w:r>
        <w:t>10,000원은 지지선이라고 단정하기보다 9,900원부터 10,100원에서 이전에 여러 차례 반등했으며 이번에도 유지되는지 관찰한다고 설명한다. 저항을 돌파한 뒤 지지로, 지지를 이탈한 뒤 저항으로 작용할 수 있는 역할 전환도 함께 다룬다. 이는 항상 성립하는 법칙은 아니다.</w:t>
      </w:r>
    </w:p>
    <w:p>
      <w:pPr>
        <w:pStyle w:val="Heading2"/>
      </w:pPr>
      <w:r>
        <w:t>돌파 판정 규칙을 미리 정하기</w:t>
      </w:r>
    </w:p>
    <w:p>
      <w:r>
        <w:t>장중 가격, 종가, 일정 비율 또는 변동성 기준 중 무엇으로 돌파를 판단할지 사전에 정한다. 신호 확인을 기다리면 거짓 돌파 일부를 줄일 수 있지만 진입이 늦어질 수 있다. 규칙은 사례 결과를 본 뒤 유리하게 바꾸지 않는다.</w:t>
      </w:r>
    </w:p>
    <w:p>
      <w:r>
        <w:rPr>
          <w:color w:val="555555"/>
          <w:sz w:val="16"/>
        </w:rPr>
        <w:t>근거 자료  [9]</w:t>
      </w:r>
    </w:p>
    <w:p>
      <w:r>
        <w:br w:type="page"/>
      </w:r>
    </w:p>
    <w:p>
      <w:pPr>
        <w:pStyle w:val="Heading1"/>
      </w:pPr>
      <w:r>
        <w:t>6 캔들 패턴의 모양과 맥락</w:t>
      </w:r>
    </w:p>
    <w:p>
      <w:r>
        <w:t>다음 경향성은 전통적 해석이다. 선행 추세, 주요 가격대와 이후 움직임을 함께 확인한다. 같은 형태도 발생 위치가 달라지면 패턴의 이름과 해석이 달라질 수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4592"/>
        <w:gridCol w:w="3175"/>
      </w:tblGrid>
      <w:tr>
        <w:trPr>
          <w:cantSplit/>
          <w:tblHeader/>
        </w:trPr>
        <w:tc>
          <w:tcPr>
            <w:tcW w:type="dxa" w:w="2098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패턴</w:t>
            </w:r>
          </w:p>
        </w:tc>
        <w:tc>
          <w:tcPr>
            <w:tcW w:type="dxa" w:w="4592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형태와 전통적 해석</w:t>
            </w:r>
          </w:p>
        </w:tc>
        <w:tc>
          <w:tcPr>
            <w:tcW w:type="dxa" w:w="3175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확인할 조건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장대양봉과 장대음봉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주변보다 긴 몸통. 해당 기간의 강한 방향성.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주요 가격대 돌파인지, 이미 크게 움직인 뒤인지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마루보즈</w:t>
            </w:r>
          </w:p>
        </w:tc>
        <w:tc>
          <w:tcPr>
            <w:tcW w:type="dxa" w:w="45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꼬리가 거의 없는 긴 몸통. 한 방향으로 강하게 마감.</w:t>
            </w:r>
          </w:p>
        </w:tc>
        <w:tc>
          <w:tcPr>
            <w:tcW w:type="dxa" w:w="3175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후속 움직임의 지속 여부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도지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시가와 종가가 거의 같음. 균형 또는 방향성 약화 후보.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선행 추세와 다음 봉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팽이형</w:t>
            </w:r>
          </w:p>
        </w:tc>
        <w:tc>
          <w:tcPr>
            <w:tcW w:type="dxa" w:w="45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작은 몸통과 양쪽 꼬리. 움직였지만 순변화는 작음.</w:t>
            </w:r>
          </w:p>
        </w:tc>
        <w:tc>
          <w:tcPr>
            <w:tcW w:type="dxa" w:w="3175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단순 횡보와 전환 후보 구분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망치형과 교수형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작은 몸통과 긴 아랫꼬리. 하락 뒤 망치형은 반등 후보, 상승 뒤 교수형은 약세 경고 후보.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지지나 저항 위치와 후속 방향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역망치형과 유성형</w:t>
            </w:r>
          </w:p>
        </w:tc>
        <w:tc>
          <w:tcPr>
            <w:tcW w:type="dxa" w:w="45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작은 몸통과 긴 윗꼬리. 하락 뒤 역망치형은 반전 후보, 상승 뒤 유성형은 약세 후보.</w:t>
            </w:r>
          </w:p>
        </w:tc>
        <w:tc>
          <w:tcPr>
            <w:tcW w:type="dxa" w:w="3175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후속 상승 또는 하락 확인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장악형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두 번째 몸통이 앞 몸통을 감쌈. 단기 힘의 방향 변화 후보.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몸통과 꼬리의 기준 구분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잉태형</w:t>
            </w:r>
          </w:p>
        </w:tc>
        <w:tc>
          <w:tcPr>
            <w:tcW w:type="dxa" w:w="45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작은 몸통이 앞의 큰 몸통 안에 위치. 기존 움직임 둔화 후보.</w:t>
            </w:r>
          </w:p>
        </w:tc>
        <w:tc>
          <w:tcPr>
            <w:tcW w:type="dxa" w:w="3175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이후 어느 방향으로 벗어나는지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샛별형과 석별형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큰 봉, 작은 봉, 반대 방향 봉의 조합. 추세 전환 후보.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세 봉의 관계와 선행 추세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적삼병과 흑삼병</w:t>
            </w:r>
          </w:p>
        </w:tc>
        <w:tc>
          <w:tcPr>
            <w:tcW w:type="dxa" w:w="45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같은 방향의 비교적 강한 봉 세 개. 방향성 강화로 해석.</w:t>
            </w:r>
          </w:p>
        </w:tc>
        <w:tc>
          <w:tcPr>
            <w:tcW w:type="dxa" w:w="3175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이미 과도하게 진행된 위치인지</w:t>
            </w:r>
          </w:p>
        </w:tc>
      </w:tr>
    </w:tbl>
    <w:p/>
    <w:p>
      <w:pPr>
        <w:pStyle w:val="Heading2"/>
      </w:pPr>
      <w:r>
        <w:t>교육 적용</w:t>
      </w:r>
    </w:p>
    <w:p>
      <w:r>
        <w:t>망치형과 교수형처럼 모양은 비슷하지만 위치가 다른 차트를 나란히 보여준다. 긴 몸통이나 긴 꼬리의 기준도 주변 봉과 변동성을 고려해 정의한다. 패턴 판정 기준이 자료마다 다르면 그 차이를 표시한다.</w:t>
      </w:r>
    </w:p>
    <w:p>
      <w:r>
        <w:rPr>
          <w:color w:val="555555"/>
          <w:sz w:val="16"/>
        </w:rPr>
        <w:t>근거 자료  [5] [10] [11]</w:t>
      </w:r>
    </w:p>
    <w:p>
      <w:r>
        <w:br w:type="page"/>
      </w:r>
    </w:p>
    <w:p>
      <w:pPr>
        <w:pStyle w:val="Heading1"/>
      </w:pPr>
      <w:r>
        <w:t>7 여러 봉이 만드는 차트 패턴</w:t>
      </w:r>
    </w:p>
    <w:p>
      <w:r>
        <w:t>여러 봉의 패턴은 고점과 저점, 가격 범위의 구조를 본다. 형성 중인 모양과 돌파가 확인된 상태를 구분하며 다음 표의 방향은 보장된 결과가 아니다.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4309"/>
        <w:gridCol w:w="3458"/>
      </w:tblGrid>
      <w:tr>
        <w:trPr>
          <w:cantSplit/>
          <w:tblHeader/>
        </w:trPr>
        <w:tc>
          <w:tcPr>
            <w:tcW w:type="dxa" w:w="2098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패턴</w:t>
            </w:r>
          </w:p>
        </w:tc>
        <w:tc>
          <w:tcPr>
            <w:tcW w:type="dxa" w:w="4309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구조와 전통적 경향</w:t>
            </w:r>
          </w:p>
        </w:tc>
        <w:tc>
          <w:tcPr>
            <w:tcW w:type="dxa" w:w="3458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확인 또는 실패 관찰점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이중 및 삼중 바닥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비슷한 저점 반복. 상승 반전 후보.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중간 고점 돌파와 유지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이중 및 삼중 천장</w:t>
            </w:r>
          </w:p>
        </w:tc>
        <w:tc>
          <w:tcPr>
            <w:tcW w:type="dxa" w:w="4309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비슷한 고점 반복. 하락 반전 후보.</w:t>
            </w:r>
          </w:p>
        </w:tc>
        <w:tc>
          <w:tcPr>
            <w:tcW w:type="dxa" w:w="345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중간 저점 이탈과 회복 여부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헤드앤숄더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가운데가 더 높은 세 봉우리. 하락 전환 후보.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넥라인 이탈과 이후 회복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역헤드앤숄더</w:t>
            </w:r>
          </w:p>
        </w:tc>
        <w:tc>
          <w:tcPr>
            <w:tcW w:type="dxa" w:w="4309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가운데가 더 낮은 세 골. 상승 전환 후보.</w:t>
            </w:r>
          </w:p>
        </w:tc>
        <w:tc>
          <w:tcPr>
            <w:tcW w:type="dxa" w:w="345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넥라인 돌파와 유지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원형 바닥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완만한 하락, 횡보, 회복. 장기 반전 후보.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회복 과정과 저항 돌파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컵앤핸들</w:t>
            </w:r>
          </w:p>
        </w:tc>
        <w:tc>
          <w:tcPr>
            <w:tcW w:type="dxa" w:w="4309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둥근 회복 뒤 짧은 조정. 상승 지속 후보.</w:t>
            </w:r>
          </w:p>
        </w:tc>
        <w:tc>
          <w:tcPr>
            <w:tcW w:type="dxa" w:w="345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손잡이 형성과 상단 돌파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상승 삼각형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비슷한 고점과 높아지는 저점. 상승 편향.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수평 저항 돌파 또는 하단 붕괴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하락 삼각형</w:t>
            </w:r>
          </w:p>
        </w:tc>
        <w:tc>
          <w:tcPr>
            <w:tcW w:type="dxa" w:w="4309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비슷한 저점과 낮아지는 고점. 하락 편향.</w:t>
            </w:r>
          </w:p>
        </w:tc>
        <w:tc>
          <w:tcPr>
            <w:tcW w:type="dxa" w:w="345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수평 지지 이탈 또는 상단 돌파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대칭 삼각형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고점은 낮아지고 저점은 높아짐. 수렴.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실제 돌파 방향과 범위 재진입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직사각형과 박스권</w:t>
            </w:r>
          </w:p>
        </w:tc>
        <w:tc>
          <w:tcPr>
            <w:tcW w:type="dxa" w:w="4309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수평 상하단 사이의 반복. 방향 미확정.</w:t>
            </w:r>
          </w:p>
        </w:tc>
        <w:tc>
          <w:tcPr>
            <w:tcW w:type="dxa" w:w="345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범위 이탈 뒤 유지 여부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깃발과 페넌트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급격한 움직임 뒤 짧은 조정이나 수렴. 지속 후보.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선행 움직임과 같은 방향의 돌파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상승 및 하락 쐐기</w:t>
            </w:r>
          </w:p>
        </w:tc>
        <w:tc>
          <w:tcPr>
            <w:tcW w:type="dxa" w:w="4309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같은 방향으로 기울어진 경계가 수렴. 상승 쐐기는 약세, 하락 쐐기는 강세 편향.</w:t>
            </w:r>
          </w:p>
        </w:tc>
        <w:tc>
          <w:tcPr>
            <w:tcW w:type="dxa" w:w="345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각각 하단 이탈 또는 상단 돌파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확산형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고점과 저점 사이의 폭이 확대. 변동성 확대.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모양만으로 방향 단정 금지</w:t>
            </w:r>
          </w:p>
        </w:tc>
      </w:tr>
    </w:tbl>
    <w:p/>
    <w:p>
      <w:r>
        <w:t>패턴 높이를 돌파점에 더하거나 빼는 목표가격 산정은 전통적 추정법이다. 도달 확률이나 시점을 보장하지 않는다. 돌파 뒤 범위 안으로 복귀한 실패 사례를 성공 사례와 함께 제시한다.</w:t>
      </w:r>
    </w:p>
    <w:p>
      <w:r>
        <w:rPr>
          <w:color w:val="555555"/>
          <w:sz w:val="16"/>
        </w:rPr>
        <w:t>근거 자료  [12] [13] [14] [15] [16]</w:t>
      </w:r>
    </w:p>
    <w:p>
      <w:r>
        <w:br w:type="page"/>
      </w:r>
    </w:p>
    <w:p>
      <w:pPr>
        <w:pStyle w:val="Heading1"/>
      </w:pPr>
      <w:r>
        <w:t>8 갭의 종류와 사후 판정</w:t>
      </w:r>
    </w:p>
    <w:p>
      <w:r>
        <w:t>전일 종가보다 높게 출발한 것과 전일 고가보다 당일 저가가 높아 두 거래 범위가 완전히 분리된 것은 다르다. 학습 콘텐츠와 검증에서는 사용하는 갭 정의를 먼저 명시한다.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685"/>
        <w:gridCol w:w="4422"/>
      </w:tblGrid>
      <w:tr>
        <w:trPr>
          <w:cantSplit/>
          <w:tblHeader/>
        </w:trPr>
        <w:tc>
          <w:tcPr>
            <w:tcW w:type="dxa" w:w="1757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분류</w:t>
            </w:r>
          </w:p>
        </w:tc>
        <w:tc>
          <w:tcPr>
            <w:tcW w:type="dxa" w:w="3685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전통적 설명</w:t>
            </w:r>
          </w:p>
        </w:tc>
        <w:tc>
          <w:tcPr>
            <w:tcW w:type="dxa" w:w="4422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주의점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보통 갭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횡보 등에서 발생하는 가격 공백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반드시 단기간에 메워지는 것은 아니다.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돌파 갭</w:t>
            </w:r>
          </w:p>
        </w:tc>
        <w:tc>
          <w:tcPr>
            <w:tcW w:type="dxa" w:w="3685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주요 범위를 벗어나는 움직임</w:t>
            </w:r>
          </w:p>
        </w:tc>
        <w:tc>
          <w:tcPr>
            <w:tcW w:type="dxa" w:w="442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뉴스, 거래량, 돌파 유지 확인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지속 갭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진행 중인 추세에서 추가 움직임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당시에는 소진 갭과 구별하기 어려울 수 있다.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소진 갭</w:t>
            </w:r>
          </w:p>
        </w:tc>
        <w:tc>
          <w:tcPr>
            <w:tcW w:type="dxa" w:w="3685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추세 말기에 발생한 뒤 반전</w:t>
            </w:r>
          </w:p>
        </w:tc>
        <w:tc>
          <w:tcPr>
            <w:tcW w:type="dxa" w:w="442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이후 반전이 확인돼야 분류가 명확해진다.</w:t>
            </w:r>
          </w:p>
        </w:tc>
      </w:tr>
    </w:tbl>
    <w:p/>
    <w:p>
      <w:pPr>
        <w:pStyle w:val="Heading2"/>
      </w:pPr>
      <w:r>
        <w:t>갭은 반드시 메워진다는 설명의 문제</w:t>
      </w:r>
    </w:p>
    <w:p>
      <w:r>
        <w:t>갭이 메워질 시점과 확률을 조건 없이 단정할 수 없다. 지속 갭과 소진 갭처럼 이후 움직임을 보고 붙이는 이름은 실시간 예측에 그대로 사용하기 어렵다. 기업행동에 따른 불연속도 별도로 확인한다.</w:t>
      </w:r>
    </w:p>
    <w:p>
      <w:pPr>
        <w:pStyle w:val="Heading2"/>
      </w:pPr>
      <w:r>
        <w:t>미래를 가린 실습</w:t>
      </w:r>
    </w:p>
    <w:p>
      <w:pPr>
        <w:pStyle w:val="ListBullet"/>
      </w:pPr>
      <w:r>
        <w:t>갭 발생일까지의 차트와 그 시점에 공개된 공시만 보여준다.</w:t>
      </w:r>
    </w:p>
    <w:p>
      <w:pPr>
        <w:pStyle w:val="ListBullet"/>
      </w:pPr>
      <w:r>
        <w:t>갭의 위치, 크기, 거래량과 선행 추세를 관찰 사실로 기록한다.</w:t>
      </w:r>
    </w:p>
    <w:p>
      <w:pPr>
        <w:pStyle w:val="ListBullet"/>
      </w:pPr>
      <w:r>
        <w:t>상승 지속, 갭 되돌림, 횡보의 대안 시나리오를 작성한다.</w:t>
      </w:r>
    </w:p>
    <w:p>
      <w:pPr>
        <w:pStyle w:val="ListBullet"/>
      </w:pPr>
      <w:r>
        <w:t>후속 봉을 공개한 뒤 당시 알 수 있었던 정보와 나중에 알게 된 정보를 나눈다.</w:t>
      </w:r>
    </w:p>
    <w:p>
      <w:pPr>
        <w:pStyle w:val="Heading2"/>
      </w:pPr>
      <w:r>
        <w:t>확인과 무효화의 예시</w:t>
      </w:r>
    </w:p>
    <w:p>
      <w:r>
        <w:t>범위 상단을 갭으로 넘었더라도 종가가 다시 범위 안에 들어오면 돌파 유지라는 가정이 약해질 수 있다. 반대로 갭 이후 높은 가격대에서 거래가 이어지는지는 지속 시나리오의 관찰 대상이 된다. 구체적인 판단 기준과 관찰 기간은 실습 전에 정한다.</w:t>
      </w:r>
    </w:p>
    <w:p>
      <w:r>
        <w:rPr>
          <w:color w:val="555555"/>
          <w:sz w:val="16"/>
        </w:rPr>
        <w:t>근거 자료  [17] [18]</w:t>
      </w:r>
    </w:p>
    <w:p>
      <w:r>
        <w:br w:type="page"/>
      </w:r>
    </w:p>
    <w:p>
      <w:pPr>
        <w:pStyle w:val="Heading1"/>
      </w:pPr>
      <w:r>
        <w:t>9 거래량과 거래대금 및 매물대</w:t>
      </w:r>
    </w:p>
    <w:p>
      <w:r>
        <w:t>거래량은 거래된 주식 수, 거래대금은 거래된 금액이다. 거래량 막대는 보통 시간별 거래 활동을, 매물대는 선택한 기간의 가격대별 거래 활동을 보여준다. 가격과 결합해 읽되 거래량 급증만으로 방향이나 거래 주체를 확정하지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3402"/>
        <w:gridCol w:w="4365"/>
      </w:tblGrid>
      <w:tr>
        <w:trPr>
          <w:cantSplit/>
          <w:tblHeader/>
        </w:trPr>
        <w:tc>
          <w:tcPr>
            <w:tcW w:type="dxa" w:w="2098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도구 또는 개념</w:t>
            </w:r>
          </w:p>
        </w:tc>
        <w:tc>
          <w:tcPr>
            <w:tcW w:type="dxa" w:w="3402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읽는 대상</w:t>
            </w:r>
          </w:p>
        </w:tc>
        <w:tc>
          <w:tcPr>
            <w:tcW w:type="dxa" w:w="4365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한계와 확인 사항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상대 거래량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평소 대비 거래 활동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장중에는 같은 시각까지의 거래량과 비교하는 방식 고려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거래회전율</w:t>
            </w:r>
          </w:p>
        </w:tc>
        <w:tc>
          <w:tcPr>
            <w:tcW w:type="dxa" w:w="340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주식 수 대비 거래량</w:t>
            </w:r>
          </w:p>
        </w:tc>
        <w:tc>
          <w:tcPr>
            <w:tcW w:type="dxa" w:w="4365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분모가 상장주식인지 유통주식인지 확인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거래량 프로파일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선택 기간의 가격별 거래량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조회 기간과 가격 구간 설정에 따라 달라짐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POC</w:t>
            </w:r>
          </w:p>
        </w:tc>
        <w:tc>
          <w:tcPr>
            <w:tcW w:type="dxa" w:w="340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프로파일에서 거래량이 가장 많은 구간</w:t>
            </w:r>
          </w:p>
        </w:tc>
        <w:tc>
          <w:tcPr>
            <w:tcW w:type="dxa" w:w="4365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지지나 저항을 보장하지 않음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가치영역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정해진 비율의 거래량을 포함하는 구간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기업의 적정 가치를 의미하지 않음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풋프린트와 델타</w:t>
            </w:r>
          </w:p>
        </w:tc>
        <w:tc>
          <w:tcPr>
            <w:tcW w:type="dxa" w:w="340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가격별 거래 및 방향 분류</w:t>
            </w:r>
          </w:p>
        </w:tc>
        <w:tc>
          <w:tcPr>
            <w:tcW w:type="dxa" w:w="4365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매수와 매도 주도 체결인지 추정값인지 확인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호가창과 호가 깊이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아직 체결되지 않은 주문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체결 거래량과 다르며 주문은 취소 가능</w:t>
            </w:r>
          </w:p>
        </w:tc>
      </w:tr>
    </w:tbl>
    <w:p/>
    <w:p>
      <w:pPr>
        <w:pStyle w:val="Heading2"/>
      </w:pPr>
      <w:r>
        <w:t>가격과 결합하는 관찰</w:t>
      </w:r>
    </w:p>
    <w:p>
      <w:r>
        <w:t>전통적으로 상승 돌파에 거래량 증가가 동반되는지, 조정 중 거래량이 감소하는지 관찰한다. 다만 대규모 거래는 뉴스, 거래 집중, 매매 교체 등 여러 상황에서 발생할 수 있으므로 다른 정보와 함께 해석한다.</w:t>
      </w:r>
    </w:p>
    <w:p>
      <w:pPr>
        <w:pStyle w:val="Heading2"/>
      </w:pPr>
      <w:r>
        <w:t>매물대와 매수량의 오해</w:t>
      </w:r>
    </w:p>
    <w:p>
      <w:r>
        <w:t>매물대는 현재 보유자의 정확한 매입 원가 분포가 아니다. 과거 특정 가격에서 거래됐다는 정보다. 또한 모든 체결에는 매수자와 매도자가 있으므로 색칠된 거래량을 곧바로 실제 매수량과 매도량으로 해석해서는 안 된다.</w:t>
      </w:r>
    </w:p>
    <w:p>
      <w:r>
        <w:t>TradingView의 거래량 프로파일은 문서상 봉 방향을 이용한 상승 및 하락 거래량 분류를 사용한다. 도구 이름이 같아도 데이터와 계산 방식이 다른지 확인한다.</w:t>
      </w:r>
    </w:p>
    <w:p>
      <w:r>
        <w:rPr>
          <w:color w:val="555555"/>
          <w:sz w:val="16"/>
        </w:rPr>
        <w:t>근거 자료  [15] [19] [20]</w:t>
      </w:r>
    </w:p>
    <w:p>
      <w:r>
        <w:br w:type="page"/>
      </w:r>
    </w:p>
    <w:p>
      <w:pPr>
        <w:pStyle w:val="Heading1"/>
      </w:pPr>
      <w:r>
        <w:t>10 보조지표가 측정하는 것</w:t>
      </w:r>
    </w:p>
    <w:p>
      <w:r>
        <w:t>보조지표는 이름보다 측정 대상을 먼저 가르친다. 비슷한 원자료를 변형한 여러 신호를 서로 독립적인 증거 여러 개로 세지 않도록 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3742"/>
        <w:gridCol w:w="3402"/>
      </w:tblGrid>
      <w:tr>
        <w:trPr>
          <w:cantSplit/>
          <w:tblHeader/>
        </w:trPr>
        <w:tc>
          <w:tcPr>
            <w:tcW w:type="dxa" w:w="2721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분류와 도구</w:t>
            </w:r>
          </w:p>
        </w:tc>
        <w:tc>
          <w:tcPr>
            <w:tcW w:type="dxa" w:w="3742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읽는 내용</w:t>
            </w:r>
          </w:p>
        </w:tc>
        <w:tc>
          <w:tcPr>
            <w:tcW w:type="dxa" w:w="3402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흔한 오해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추세 SMA와 EMA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가격 평균, 기울기, 가격과 평균의 거리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평균선은 반드시 지지 또는 저항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추세와 모멘텀 MACD</w:t>
            </w:r>
          </w:p>
        </w:tc>
        <w:tc>
          <w:tcPr>
            <w:tcW w:type="dxa" w:w="374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두 EMA 차이, 신호선, 히스토그램</w:t>
            </w:r>
          </w:p>
        </w:tc>
        <w:tc>
          <w:tcPr>
            <w:tcW w:type="dxa" w:w="340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상향 교차면 반드시 상승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모멘텀 RSI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최근 상승과 하락 변화의 상대적 크기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70 이상이면 즉시 하락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모멘텀 스토캐스틱</w:t>
            </w:r>
          </w:p>
        </w:tc>
        <w:tc>
          <w:tcPr>
            <w:tcW w:type="dxa" w:w="374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최근 고저 범위에서 종가의 위치</w:t>
            </w:r>
          </w:p>
        </w:tc>
        <w:tc>
          <w:tcPr>
            <w:tcW w:type="dxa" w:w="340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과매도는 바닥 확정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변동성 볼린저밴드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평균 주변의 상대적 위치와 밴드 폭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상단은 매도, 하단은 매수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변동성 ATR</w:t>
            </w:r>
          </w:p>
        </w:tc>
        <w:tc>
          <w:tcPr>
            <w:tcW w:type="dxa" w:w="374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갭을 포함한 가격 변동 범위</w:t>
            </w:r>
          </w:p>
        </w:tc>
        <w:tc>
          <w:tcPr>
            <w:tcW w:type="dxa" w:w="340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ATR 상승은 주가 상승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추세 강도 ADX와 DMI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추세 강도와 방향 정보를 구분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ADX 상승은 주가 상승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거래량 OBV MFI CMF</w:t>
            </w:r>
          </w:p>
        </w:tc>
        <w:tc>
          <w:tcPr>
            <w:tcW w:type="dxa" w:w="374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가격과 거래량을 규칙에 따라 결합</w:t>
            </w:r>
          </w:p>
        </w:tc>
        <w:tc>
          <w:tcPr>
            <w:tcW w:type="dxa" w:w="340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실제 자금 유입액이나 기관 매수액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평균 가격 VWAP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거래량을 가중한 평균 가격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반드시 돌아와야 하는 가격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종합 추세 일목균형표</w:t>
            </w:r>
          </w:p>
        </w:tc>
        <w:tc>
          <w:tcPr>
            <w:tcW w:type="dxa" w:w="374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여러 기간의 가격 범위와 선의 관계</w:t>
            </w:r>
          </w:p>
        </w:tc>
        <w:tc>
          <w:tcPr>
            <w:tcW w:type="dxa" w:w="340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앞에 그려진 구름은 미래 예측값</w:t>
            </w:r>
          </w:p>
        </w:tc>
      </w:tr>
    </w:tbl>
    <w:p/>
    <w:p>
      <w:pPr>
        <w:pStyle w:val="Heading2"/>
      </w:pPr>
      <w:r>
        <w:t>필수 구분</w:t>
      </w:r>
    </w:p>
    <w:p>
      <w:pPr>
        <w:pStyle w:val="ListBullet"/>
      </w:pPr>
      <w:r>
        <w:t>추세 지표는 방향과 평균적인 흐름을 본다.</w:t>
      </w:r>
    </w:p>
    <w:p>
      <w:pPr>
        <w:pStyle w:val="ListBullet"/>
      </w:pPr>
      <w:r>
        <w:t>모멘텀 지표는 가격 변화의 상대적 강도나 범위 안의 위치를 본다.</w:t>
      </w:r>
    </w:p>
    <w:p>
      <w:pPr>
        <w:pStyle w:val="ListBullet"/>
      </w:pPr>
      <w:r>
        <w:t>변동성 지표는 움직임의 크기를 본다. 방향과는 다르다.</w:t>
      </w:r>
    </w:p>
    <w:p>
      <w:pPr>
        <w:pStyle w:val="ListBullet"/>
      </w:pPr>
      <w:r>
        <w:t>가격과 거래량을 결합한 지표도 거래 주체와 실제 자금 유입액을 직접 측정하는 것은 아니다.</w:t>
      </w:r>
    </w:p>
    <w:p>
      <w:r>
        <w:rPr>
          <w:color w:val="555555"/>
          <w:sz w:val="16"/>
        </w:rPr>
        <w:t>근거 자료  [21] [22] [23] [24] [25] [26]</w:t>
      </w:r>
    </w:p>
    <w:p>
      <w:r>
        <w:br w:type="page"/>
      </w:r>
    </w:p>
    <w:p>
      <w:pPr>
        <w:pStyle w:val="Heading1"/>
      </w:pPr>
      <w:r>
        <w:t>11 핵심 지표의 설정과 해석</w:t>
      </w:r>
    </w:p>
    <w:p>
      <w:pPr>
        <w:pStyle w:val="Heading2"/>
      </w:pPr>
      <w:r>
        <w:t>이동평균과 MACD</w:t>
      </w:r>
    </w:p>
    <w:p>
      <w:r>
        <w:t>SMA는 정해진 기간 가격의 단순평균이고 EMA는 최근 값에 더 무게를 준다. 기간이 짧으면 반응이 빠르지만 신호가 잦아질 수 있다. 20일, 60일, 200일 같은 숫자를 보편적인 최적값으로 가르치지 않는다.</w:t>
      </w:r>
    </w:p>
    <w:p>
      <w:r>
        <w:t>MACD의 흔한 설정은 12기간 EMA와 26기간 EMA의 차이이며 신호선은 MACD의 9기간 EMA다. 히스토그램은 MACD와 신호선의 차이를 나타낸다. 횡보장에서는 교차가 반복될 수 있다. [22]</w:t>
      </w:r>
    </w:p>
    <w:p>
      <w:pPr>
        <w:pStyle w:val="Heading2"/>
      </w:pPr>
      <w:r>
        <w:t>RSI와 다이버전스</w:t>
      </w:r>
    </w:p>
    <w:p>
      <w:r>
        <w:t>RSI의 70과 30은 흔히 사용하는 기준이다. 강한 추세에서는 과매수나 과매도 상태가 지속될 수 있다. 가격이 신고가를 기록하는데 RSI가 이전 고점을 넘지 못하는 등 움직임이 어긋나는 다이버전스는 변화 후보이지 반전 확정 신호가 아니다. [23]</w:t>
      </w:r>
    </w:p>
    <w:p>
      <w:pPr>
        <w:pStyle w:val="Heading2"/>
      </w:pPr>
      <w:r>
        <w:t>볼린저밴드</w:t>
      </w:r>
    </w:p>
    <w:p>
      <w:r>
        <w:t>흔한 설정은 20기간 이동평균을 중심으로 위아래 2표준편차다. 밴드 수축은 낮아진 변동성을 보여주지만 다음 방향을 알려주지 않는다. 강한 추세에서는 가격이 상단이나 하단을 따라갈 수 있다. 상단 접촉만으로 매도 규칙을 만들면 추세 지속 구간을 놓칠 수 있다. [24]</w:t>
      </w:r>
    </w:p>
    <w:p>
      <w:pPr>
        <w:pStyle w:val="Heading2"/>
      </w:pPr>
      <w:r>
        <w:t>ATR과 ADX</w:t>
      </w:r>
    </w:p>
    <w:p>
      <w:r>
        <w:t>ATR은 갭까지 반영한 변동 범위를 평균한다. True Range는 당일 고가와 저가의 차이, 당일 고가와 전일 종가 차이의 절댓값, 당일 저가와 전일 종가 차이의 절댓값 중 가장 큰 값이다. 종목 간 비교에서는 가격 대비 비율도 고려한다. [25]</w:t>
      </w:r>
    </w:p>
    <w:p>
      <w:r>
        <w:t>ADX는 추세 강도를 평가하므로 강한 하락 추세에서도 높을 수 있다. 방향 정보와 강도를 분리해서 읽는다. [26]</w:t>
      </w:r>
    </w:p>
    <w:p>
      <w:pPr>
        <w:pStyle w:val="Heading2"/>
      </w:pPr>
      <w:r>
        <w:t>실습 설계</w:t>
      </w:r>
    </w:p>
    <w:p>
      <w:r>
        <w:t>같은 지표를 추세장과 횡보장에 각각 적용한다. 지표의 기간을 변경한 뒤 반응 속도와 거짓 신호가 어떻게 달라지는지 관찰한다. 여러 지표가 같은 가격 변화에 반응한 것인지 새로운 정보를 제공한 것인지 설명하게 한다.</w:t>
      </w:r>
    </w:p>
    <w:p>
      <w:r>
        <w:br w:type="page"/>
      </w:r>
    </w:p>
    <w:p>
      <w:pPr>
        <w:pStyle w:val="Heading1"/>
      </w:pPr>
      <w:r>
        <w:t>12 심화 주제와 도구의 한계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912"/>
        <w:gridCol w:w="3798"/>
      </w:tblGrid>
      <w:tr>
        <w:trPr>
          <w:cantSplit/>
          <w:tblHeader/>
        </w:trPr>
        <w:tc>
          <w:tcPr>
            <w:tcW w:type="dxa" w:w="2154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주제</w:t>
            </w:r>
          </w:p>
        </w:tc>
        <w:tc>
          <w:tcPr>
            <w:tcW w:type="dxa" w:w="3912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학습 가치</w:t>
            </w:r>
          </w:p>
        </w:tc>
        <w:tc>
          <w:tcPr>
            <w:tcW w:type="dxa" w:w="3798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함께 다룰 한계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상대강도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종목 자체 상승과 시장 또는 업종 대비 우위 구분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RSI와 다른 개념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시장 폭</w:t>
            </w:r>
          </w:p>
        </w:tc>
        <w:tc>
          <w:tcPr>
            <w:tcW w:type="dxa" w:w="391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상승과 하락 종목 수, 신고가와 신저가로 참여 범위 관찰</w:t>
            </w:r>
          </w:p>
        </w:tc>
        <w:tc>
          <w:tcPr>
            <w:tcW w:type="dxa" w:w="37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지수와 구성종목 움직임이 다를 수 있음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피보나치 되돌림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선택한 고저점 사이 비율을 표시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고저점 선택에 주관성, 반전 보장 아님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엘리엇 파동</w:t>
            </w:r>
          </w:p>
        </w:tc>
        <w:tc>
          <w:tcPr>
            <w:tcW w:type="dxa" w:w="391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파동 구조로 가격 흐름 해석</w:t>
            </w:r>
          </w:p>
        </w:tc>
        <w:tc>
          <w:tcPr>
            <w:tcW w:type="dxa" w:w="37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파동 번호가 사후 변경되기 쉬움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와이코프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가격과 거래량, 범위 움직임을 묶는 해석 체계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특정 거래 주체의 행동을 확정하기 어려움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하모닉 패턴</w:t>
            </w:r>
          </w:p>
        </w:tc>
        <w:tc>
          <w:tcPr>
            <w:tcW w:type="dxa" w:w="391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여러 가격 구간의 비율 관계</w:t>
            </w:r>
          </w:p>
        </w:tc>
        <w:tc>
          <w:tcPr>
            <w:tcW w:type="dxa" w:w="37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정의와 허용 오차에 따라 사례가 달라짐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리페인팅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과거에 보이던 신호가 이후 달라지는 현상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실시간으로 알 수 있었던 신호인지 확인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지그재그와 피벗</w:t>
            </w:r>
          </w:p>
        </w:tc>
        <w:tc>
          <w:tcPr>
            <w:tcW w:type="dxa" w:w="391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의미 있는 고점과 저점 표시</w:t>
            </w:r>
          </w:p>
        </w:tc>
        <w:tc>
          <w:tcPr>
            <w:tcW w:type="dxa" w:w="37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미래 봉이 있어야 확정되는 지점에 주의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실적과 공시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차트 변화와 사건 연결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모양만으로 원인 추정 금지</w:t>
            </w:r>
          </w:p>
        </w:tc>
      </w:tr>
    </w:tbl>
    <w:p/>
    <w:p>
      <w:pPr>
        <w:pStyle w:val="Heading2"/>
      </w:pPr>
      <w:r>
        <w:t>기초 이후에 배치할 이유</w:t>
      </w:r>
    </w:p>
    <w:p>
      <w:r>
        <w:t>복잡한 패턴 체계는 가격과 거래량, 추세와 지지저항을 이해한 뒤 다룬다. 사용법이 정교하거나 설명 자료가 많다는 사실과 비용 차감 후 투자 성과가 입증됐다는 사실은 구별한다.</w:t>
      </w:r>
    </w:p>
    <w:p>
      <w:pPr>
        <w:pStyle w:val="Heading2"/>
      </w:pPr>
      <w:r>
        <w:t>실시간 관찰 가능성</w:t>
      </w:r>
    </w:p>
    <w:p>
      <w:r>
        <w:t>과거 차트에 정확히 표시된 고점과 저점이 당시에도 알 수 있었는지 확인한다. 뒤의 봉이 나온 뒤 확정된 지점을 과거 진입 신호로 사용하면 미래정보 사용 오류가 발생한다. 지표마다 신호 생성 시점과 확정 시점을 구분해 기록한다.</w:t>
      </w:r>
    </w:p>
    <w:p>
      <w:r>
        <w:rPr>
          <w:color w:val="555555"/>
          <w:sz w:val="16"/>
        </w:rPr>
        <w:t>근거 자료  [27] [28] 및 교육 설계 제안</w:t>
      </w:r>
    </w:p>
    <w:p>
      <w:r>
        <w:br w:type="page"/>
      </w:r>
    </w:p>
    <w:p>
      <w:pPr>
        <w:pStyle w:val="Heading1"/>
      </w:pPr>
      <w:r>
        <w:t>13 패턴의 예측력과 검증</w:t>
      </w:r>
    </w:p>
    <w:p>
      <w:r>
        <w:t>Lo, Mamaysky, Wang의 연구는 미국 주식 과거 자료에서 일부 기술적 패턴이 수익률 분포에 추가 정보를 제공할 수 있다고 보고했다. 이를 모든 패턴의 유효성, 현재 한국 시장의 적용 가능성 또는 비용 차감 후 수익 보장으로 확대해서는 안 된다. [29]</w:t>
      </w:r>
    </w:p>
    <w:p>
      <w:r>
        <w:t>여러 전략과 설정을 시도한 뒤 가장 좋은 결과만 고르면 과거에는 좋아 보이지만 새로운 자료에서는 성과가 약해질 수 있다. 백테스트 과최적화 연구는 이러한 선택의 문제를 다룬다. [30]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성공률을 제시할 때</w:t>
            </w:r>
          </w:p>
        </w:tc>
        <w:tc>
          <w:tcPr>
            <w:tcW w:type="dxa" w:w="7143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공개할 내용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대상과 기간</w:t>
            </w:r>
          </w:p>
        </w:tc>
        <w:tc>
          <w:tcPr>
            <w:tcW w:type="dxa" w:w="714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시장, 종목군, 유동성 조건, 조사 시작과 종료일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봉과 패턴 정의</w:t>
            </w:r>
          </w:p>
        </w:tc>
        <w:tc>
          <w:tcPr>
            <w:tcW w:type="dxa" w:w="7143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봉 단위, 고저점 기준, 허용 오차, 돌파 기준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성공 정의</w:t>
            </w:r>
          </w:p>
        </w:tc>
        <w:tc>
          <w:tcPr>
            <w:tcW w:type="dxa" w:w="714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며칠 안에 몇 퍼센트인지, 목표가 선도달인지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진입과 청산</w:t>
            </w:r>
          </w:p>
        </w:tc>
        <w:tc>
          <w:tcPr>
            <w:tcW w:type="dxa" w:w="7143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신호 확인 시점, 실제 가정 체결가격, 보유기간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비용</w:t>
            </w:r>
          </w:p>
        </w:tc>
        <w:tc>
          <w:tcPr>
            <w:tcW w:type="dxa" w:w="714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수수료, 세금, 스프레드, 슬리피지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표본과 기준 전략</w:t>
            </w:r>
          </w:p>
        </w:tc>
        <w:tc>
          <w:tcPr>
            <w:tcW w:type="dxa" w:w="7143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발생 수와 제외 조건, 무조건 매수 또는 시장 보유와 비교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표본 외 검증</w:t>
            </w:r>
          </w:p>
        </w:tc>
        <w:tc>
          <w:tcPr>
            <w:tcW w:type="dxa" w:w="714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규칙 개발에 쓰지 않은 기간과 종목에서의 결과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불확실성</w:t>
            </w:r>
          </w:p>
        </w:tc>
        <w:tc>
          <w:tcPr>
            <w:tcW w:type="dxa" w:w="7143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신뢰구간, 신호 중복, 성과 편차</w:t>
            </w:r>
          </w:p>
        </w:tc>
      </w:tr>
    </w:tbl>
    <w:p/>
    <w:p>
      <w:pPr>
        <w:pStyle w:val="Heading2"/>
      </w:pPr>
      <w:r>
        <w:t>반드시 설명할 검증 오류</w:t>
      </w:r>
    </w:p>
    <w:p>
      <w:pPr>
        <w:pStyle w:val="ListBullet"/>
      </w:pPr>
      <w:r>
        <w:t>선택 편향  성공한 사례만 골라 보여준다.</w:t>
      </w:r>
    </w:p>
    <w:p>
      <w:pPr>
        <w:pStyle w:val="ListBullet"/>
      </w:pPr>
      <w:r>
        <w:t>생존 편향  현재 살아남은 종목만 조사한다.</w:t>
      </w:r>
    </w:p>
    <w:p>
      <w:pPr>
        <w:pStyle w:val="ListBullet"/>
      </w:pPr>
      <w:r>
        <w:t>미래정보 사용  당시 알 수 없었던 정보를 신호에 사용한다.</w:t>
      </w:r>
    </w:p>
    <w:p>
      <w:pPr>
        <w:pStyle w:val="ListBullet"/>
      </w:pPr>
      <w:r>
        <w:t>데이터 스누핑  여러 조건 중 좋은 결과만 선택한다.</w:t>
      </w:r>
    </w:p>
    <w:p>
      <w:pPr>
        <w:pStyle w:val="ListBullet"/>
      </w:pPr>
      <w:r>
        <w:t>체결 순서 오류  한 봉 안에서 목표와 손절에 모두 닿았는데 순서를 임의로 정한다.</w:t>
      </w:r>
    </w:p>
    <w:p>
      <w:pPr>
        <w:pStyle w:val="ListBullet"/>
      </w:pPr>
      <w:r>
        <w:t>비용과 유동성 누락  수수료나 실제 체결 가능성을 제외한다.</w:t>
      </w:r>
    </w:p>
    <w:p>
      <w:r>
        <w:t>W 패턴 성공률 70%와 같은 수치는 조건 없이는 교육적 의미가 약하다. 어떤 자료와 규칙으로 계산됐는지 함께 보여준다.</w:t>
      </w:r>
    </w:p>
    <w:p>
      <w:r>
        <w:br w:type="page"/>
      </w:r>
    </w:p>
    <w:p>
      <w:pPr>
        <w:pStyle w:val="Heading1"/>
      </w:pPr>
      <w:r>
        <w:t>14 위험관리와 차트 해석의 연결</w:t>
      </w:r>
    </w:p>
    <w:p>
      <w:r>
        <w:t>가격 방향을 맞히는 능력과 수익을 내는 능력은 동일하지 않다. 승률뿐 아니라 평균 이익과 손실, 비용, 거래 규모를 함께 평가한다.</w:t>
      </w:r>
    </w:p>
    <w:p>
      <w:pPr>
        <w:pStyle w:val="Heading2"/>
      </w:pPr>
      <w:r>
        <w:t>기대손익</w:t>
      </w:r>
    </w:p>
    <w:p>
      <w:r>
        <w:t>거래당 기대손익은 승률에 평균이익을 곱한 값에서 패배율에 평균손실을 곱한 값과 평균거래비용을 뺀 값이다. 손익의 단위와 비용을 계산하는 기준은 일관되게 맞춘다.</w:t>
      </w:r>
    </w:p>
    <w:p>
      <w:r>
        <w:t>교육용 가정으로 승률이 40%이고 이익 거래 평균이 2R, 손실 거래 평균이 1R이면 비용 전 기대값은 거래당 0.2R이다. R은 처음 정한 계획상 위험 단위다. 승률이 낮아도 손익 구조에 따라 기대값이 양수일 수 있으며, 높은 승률도 큰 손실 한 번으로 훼손될 수 있다.</w:t>
      </w:r>
    </w:p>
    <w:p>
      <w:pPr>
        <w:pStyle w:val="Heading2"/>
      </w:pPr>
      <w:r>
        <w:t>포지션 크기</w:t>
      </w:r>
    </w:p>
    <w:p>
      <w:r>
        <w:t>계좌 1,000만 원에서 계획상 허용손실을 5만 원으로 정하고 진입가와 손절 기준의 차이가 주당 500원이면 단순 계산상 수량은 100주다. 이는 설명용 가정이며 거래비용과 갭을 제외한 값이다.</w:t>
      </w:r>
    </w:p>
    <w:p>
      <w:pPr>
        <w:pStyle w:val="Heading2"/>
      </w:pPr>
      <w:r>
        <w:t>손절 기준과 실제 손실</w:t>
      </w:r>
    </w:p>
    <w:p>
      <w:r>
        <w:t>손절 기준가격은 실제 체결가격을 보장하지 않는다. 가격이 갭으로 움직이거나 유동성이 부족하면 계획보다 큰 손실이 발생할 수 있다. SEC도 스톱 주문의 실제 체결가격이 스톱 가격과 크게 달라질 수 있다고 설명한다. 국내 적용에서는 증권사별 주문 기능을 별도로 확인한다. [31]</w:t>
      </w:r>
    </w:p>
    <w:p>
      <w:pPr>
        <w:pStyle w:val="Heading2"/>
      </w:pPr>
      <w:r>
        <w:t>차트 분석 기록 양식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기록 항목</w:t>
            </w:r>
          </w:p>
        </w:tc>
        <w:tc>
          <w:tcPr>
            <w:tcW w:type="dxa" w:w="7143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작성 내용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관찰 사실</w:t>
            </w:r>
          </w:p>
        </w:tc>
        <w:tc>
          <w:tcPr>
            <w:tcW w:type="dxa" w:w="714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가격 위치, 추세, 거래량, 확정된 봉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해석과 대안</w:t>
            </w:r>
          </w:p>
        </w:tc>
        <w:tc>
          <w:tcPr>
            <w:tcW w:type="dxa" w:w="7143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주된 시나리오와 반대 시나리오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확인과 무효화</w:t>
            </w:r>
          </w:p>
        </w:tc>
        <w:tc>
          <w:tcPr>
            <w:tcW w:type="dxa" w:w="714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어떤 조건에서 판단이 강화되거나 폐기되는지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실행 가정</w:t>
            </w:r>
          </w:p>
        </w:tc>
        <w:tc>
          <w:tcPr>
            <w:tcW w:type="dxa" w:w="7143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진입과 청산 시점, 비용, 체결 가능성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복기</w:t>
            </w:r>
          </w:p>
        </w:tc>
        <w:tc>
          <w:tcPr>
            <w:tcW w:type="dxa" w:w="714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결과와 당시 판단을 분리해 검토</w:t>
            </w:r>
          </w:p>
        </w:tc>
      </w:tr>
    </w:tbl>
    <w:p/>
    <w:p>
      <w:r>
        <w:br w:type="page"/>
      </w:r>
    </w:p>
    <w:p>
      <w:pPr>
        <w:pStyle w:val="Heading1"/>
      </w:pPr>
      <w:r>
        <w:t>15 교육과정 구성안</w:t>
      </w:r>
    </w:p>
    <w:p>
      <w:r>
        <w:t>다음 12개 모듈은 조사 결과를 바탕으로 한 교육 설계 제안이다. 입문에서는 데이터와 관찰 능력을 먼저 익히고, 패턴과 지표를 거쳐 검증으로 연결한다.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3798"/>
        <w:gridCol w:w="3628"/>
      </w:tblGrid>
      <w:tr>
        <w:trPr>
          <w:cantSplit/>
          <w:tblHeader/>
        </w:trPr>
        <w:tc>
          <w:tcPr>
            <w:tcW w:type="dxa" w:w="2438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모듈</w:t>
            </w:r>
          </w:p>
        </w:tc>
        <w:tc>
          <w:tcPr>
            <w:tcW w:type="dxa" w:w="3798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학습 목표</w:t>
            </w:r>
          </w:p>
        </w:tc>
        <w:tc>
          <w:tcPr>
            <w:tcW w:type="dxa" w:w="3628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실습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 차트와 데이터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가격, 거래량, 축과 기간 식별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차트 화면 요소 표시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2 캔들 읽기</w:t>
            </w:r>
          </w:p>
        </w:tc>
        <w:tc>
          <w:tcPr>
            <w:tcW w:type="dxa" w:w="37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OHLC와 몸통 및 꼬리 계산</w:t>
            </w:r>
          </w:p>
        </w:tc>
        <w:tc>
          <w:tcPr>
            <w:tcW w:type="dxa" w:w="362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숫자로 캔들 만들기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3 시간대와 설정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일봉, 주봉, 로그, 수정주가 구분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같은 종목의 설정 비교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4 추세 구조</w:t>
            </w:r>
          </w:p>
        </w:tc>
        <w:tc>
          <w:tcPr>
            <w:tcW w:type="dxa" w:w="37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고점과 저점으로 방향 설명</w:t>
            </w:r>
          </w:p>
        </w:tc>
        <w:tc>
          <w:tcPr>
            <w:tcW w:type="dxa" w:w="362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지표 없이 추세 판독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5 지지와 저항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가격대와 돌파 조건 제시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구간과 실패 조건 작성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6 거래량과 거래대금</w:t>
            </w:r>
          </w:p>
        </w:tc>
        <w:tc>
          <w:tcPr>
            <w:tcW w:type="dxa" w:w="37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가격과 거래 활동 연결</w:t>
            </w:r>
          </w:p>
        </w:tc>
        <w:tc>
          <w:tcPr>
            <w:tcW w:type="dxa" w:w="362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돌파 사례 비교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7 캔들 패턴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모양과 발생 위치 함께 해석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같은 모양의 다른 맥락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8 차트 패턴과 갭</w:t>
            </w:r>
          </w:p>
        </w:tc>
        <w:tc>
          <w:tcPr>
            <w:tcW w:type="dxa" w:w="37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형성 중, 확인, 실패 구분</w:t>
            </w:r>
          </w:p>
        </w:tc>
        <w:tc>
          <w:tcPr>
            <w:tcW w:type="dxa" w:w="362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미래를 가린 판독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9 추세와 모멘텀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MA, MACD, RSI의 질문 구분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추세장과 횡보장 비교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10 변동성과 위험</w:t>
            </w:r>
          </w:p>
        </w:tc>
        <w:tc>
          <w:tcPr>
            <w:tcW w:type="dxa" w:w="37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밴드, ATR, 포지션 크기 이해</w:t>
            </w:r>
          </w:p>
        </w:tc>
        <w:tc>
          <w:tcPr>
            <w:tcW w:type="dxa" w:w="362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같은 신호의 다른 위험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11 종합 해석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시장, 업종, 공시와 연결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근거와 반대 근거 작성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12 검증과 복기</w:t>
            </w:r>
          </w:p>
        </w:tc>
        <w:tc>
          <w:tcPr>
            <w:tcW w:type="dxa" w:w="37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규칙 정의와 결과 평가</w:t>
            </w:r>
          </w:p>
        </w:tc>
        <w:tc>
          <w:tcPr>
            <w:tcW w:type="dxa" w:w="362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리플레이와 백테스트</w:t>
            </w:r>
          </w:p>
        </w:tc>
      </w:tr>
    </w:tbl>
    <w:p/>
    <w:p>
      <w:pPr>
        <w:pStyle w:val="Heading2"/>
      </w:pPr>
      <w:r>
        <w:t>심화 선택 과정</w:t>
      </w:r>
    </w:p>
    <w:p>
      <w:r>
        <w:t>하이킨아시와 렌코, 일목균형표, 매물대와 풋프린트, 시장 폭, 피보나치와 파동 이론은 선택 과정으로 배치한다. 도구가 복잡해질수록 데이터 정의와 신호 확정 시점, 검증 과정을 더 명확히 한다.</w:t>
      </w:r>
    </w:p>
    <w:p>
      <w:pPr>
        <w:pStyle w:val="Heading2"/>
      </w:pPr>
      <w:r>
        <w:t>제작 우선순위</w:t>
      </w:r>
    </w:p>
    <w:p>
      <w:r>
        <w:t>캔들, 추세, 지지저항, 거래량, 데이터 설정을 먼저 완성한다. 주요 패턴마다 성공과 실패 사례를 한 쌍으로 구성한 뒤 지표와 심화 체계를 확장한다.</w:t>
      </w:r>
    </w:p>
    <w:p>
      <w:r>
        <w:br w:type="page"/>
      </w:r>
    </w:p>
    <w:p>
      <w:pPr>
        <w:pStyle w:val="Heading1"/>
      </w:pPr>
      <w:r>
        <w:t>16 학습 페이지와 사례 제작 기준</w:t>
      </w:r>
    </w:p>
    <w:p>
      <w:pPr>
        <w:pStyle w:val="Heading2"/>
      </w:pPr>
      <w:r>
        <w:t>모든 패턴에 공통으로 넣을 요소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257"/>
      </w:tblGrid>
      <w:tr>
        <w:trPr>
          <w:cantSplit/>
          <w:tblHeader/>
        </w:trPr>
        <w:tc>
          <w:tcPr>
            <w:tcW w:type="dxa" w:w="2608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7257"/>
            <w:vAlign w:val="center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필요한 내용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정의와 맥락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패턴 성립 조건, 선행 추세, 주요 가격대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도식과 실제 사례</w:t>
            </w:r>
          </w:p>
        </w:tc>
        <w:tc>
          <w:tcPr>
            <w:tcW w:type="dxa" w:w="7257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개념 도식과 실제 종목 차트를 구분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확인과 무효화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해석이 강화되는 조건과 폐기해야 할 조건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성공과 실패</w:t>
            </w:r>
          </w:p>
        </w:tc>
        <w:tc>
          <w:tcPr>
            <w:tcW w:type="dxa" w:w="7257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비슷한 모양이 다른 결과를 낸 사례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오해 교정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초보자가 흔히 잘못 이해하는 설명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판독 문제</w:t>
            </w:r>
          </w:p>
        </w:tc>
        <w:tc>
          <w:tcPr>
            <w:tcW w:type="dxa" w:w="7257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미래를 가린 상태에서의 관찰과 판단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출처와 근거 수준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정의 자료, 전통적 해석, 실증 연구 구분</w:t>
            </w:r>
          </w:p>
        </w:tc>
      </w:tr>
    </w:tbl>
    <w:p/>
    <w:p>
      <w:pPr>
        <w:pStyle w:val="Heading2"/>
      </w:pPr>
      <w:r>
        <w:t>사례별 메타데이터</w:t>
      </w:r>
    </w:p>
    <w:p>
      <w:r>
        <w:t>종목 코드, 거래소, 기간, 봉 단위, 데이터 출처, 수정 및 배당 조정, 시간외 포함 여부, 지표 이름과 설정값, 신호를 판단한 시점, 이후 결과를 기록한다. 관찰 당시의 공시와 이후 발표된 정보를 혼합하지 않는다.</w:t>
      </w:r>
    </w:p>
    <w:p>
      <w:pPr>
        <w:pStyle w:val="Heading2"/>
      </w:pPr>
      <w:r>
        <w:t>이해도를 확인하는 질문</w:t>
      </w:r>
    </w:p>
    <w:p>
      <w:pPr>
        <w:pStyle w:val="ListBullet"/>
      </w:pPr>
      <w:r>
        <w:t>지금 관찰할 수 있는 사실과 추정은 각각 무엇인가?</w:t>
      </w:r>
    </w:p>
    <w:p>
      <w:pPr>
        <w:pStyle w:val="ListBullet"/>
      </w:pPr>
      <w:r>
        <w:t>패턴은 이미 확인됐는가, 아직 형성 중인가?</w:t>
      </w:r>
    </w:p>
    <w:p>
      <w:pPr>
        <w:pStyle w:val="ListBullet"/>
      </w:pPr>
      <w:r>
        <w:t>어떤 움직임이 나오면 판단을 바꿔야 하는가?</w:t>
      </w:r>
    </w:p>
    <w:p>
      <w:pPr>
        <w:pStyle w:val="ListBullet"/>
      </w:pPr>
      <w:r>
        <w:t>거래시간 또는 수정주가 설정이 달라지면 무엇이 바뀌는가?</w:t>
      </w:r>
    </w:p>
    <w:p>
      <w:pPr>
        <w:pStyle w:val="ListBullet"/>
      </w:pPr>
      <w:r>
        <w:t>다음 가격을 맞혔어도 거래 성과가 나쁠 수 있는 이유는 무엇인가?</w:t>
      </w:r>
    </w:p>
    <w:p>
      <w:pPr>
        <w:pStyle w:val="Heading2"/>
      </w:pPr>
      <w:r>
        <w:t>평가 기준</w:t>
      </w:r>
    </w:p>
    <w:p>
      <w:r>
        <w:t>미래 방향의 정답만으로 점수를 매기지 않는다. 관찰의 정확성, 데이터 설정 확인, 대안 시나리오, 무효화 조건, 당시 정보만 사용했는지, 위험과 비용을 고려했는지 평가한다. 결과가 좋았던 잘못된 판단과 결과가 나빴던 합리적인 판단을 구분한다.</w:t>
      </w:r>
    </w:p>
    <w:p>
      <w:r>
        <w:br w:type="page"/>
      </w:r>
    </w:p>
    <w:p>
      <w:pPr>
        <w:pStyle w:val="Heading1"/>
      </w:pPr>
      <w:r>
        <w:t>17 참고자료 기초와 캔들</w:t>
      </w:r>
    </w:p>
    <w:p>
      <w:r>
        <w:t>본문의 대괄호 번호와 대응한다. 자료명을 클릭하면 원문으로 이동한다. 증권사와 플랫폼 자료는 정의 및 사용법의 근거이며, 그 자체가 수익성의 실증 근거는 아니다.</w:t>
      </w:r>
    </w:p>
    <w:p>
      <w:pPr>
        <w:keepNext/>
        <w:spacing w:after="40"/>
      </w:pPr>
      <w:r>
        <w:rPr>
          <w:b/>
        </w:rPr>
        <w:t xml:space="preserve">[1] Charles Schwab  </w:t>
      </w:r>
      <w:hyperlink r:id="rId10">
        <w:r>
          <w:rPr>
            <w:color w:val="22577A"/>
          </w:rPr>
          <w:t>How to Read Stock Charts and Trading Patterns</w:t>
        </w:r>
      </w:hyperlink>
    </w:p>
    <w:p>
      <w:pPr>
        <w:spacing w:after="160"/>
      </w:pPr>
      <w:r>
        <w:rPr>
          <w:sz w:val="18"/>
        </w:rPr>
        <w:t>선 바 캔들과 기초 차트 읽기</w:t>
      </w:r>
    </w:p>
    <w:p>
      <w:pPr>
        <w:keepNext/>
        <w:spacing w:after="40"/>
      </w:pPr>
      <w:r>
        <w:rPr>
          <w:b/>
        </w:rPr>
        <w:t xml:space="preserve">[2] TradingView  </w:t>
      </w:r>
      <w:hyperlink r:id="rId11">
        <w:r>
          <w:rPr>
            <w:color w:val="22577A"/>
          </w:rPr>
          <w:t>Learn more about chart types</w:t>
        </w:r>
      </w:hyperlink>
    </w:p>
    <w:p>
      <w:pPr>
        <w:spacing w:after="160"/>
      </w:pPr>
      <w:r>
        <w:rPr>
          <w:sz w:val="18"/>
        </w:rPr>
        <w:t>기본 차트와 변형 차트 분류</w:t>
      </w:r>
    </w:p>
    <w:p>
      <w:pPr>
        <w:keepNext/>
        <w:spacing w:after="40"/>
      </w:pPr>
      <w:r>
        <w:rPr>
          <w:b/>
        </w:rPr>
        <w:t xml:space="preserve">[3] TradingView  </w:t>
      </w:r>
      <w:hyperlink r:id="rId12">
        <w:r>
          <w:rPr>
            <w:color w:val="22577A"/>
          </w:rPr>
          <w:t>Understanding Heikin Ashi charts</w:t>
        </w:r>
      </w:hyperlink>
    </w:p>
    <w:p>
      <w:pPr>
        <w:spacing w:after="160"/>
      </w:pPr>
      <w:r>
        <w:rPr>
          <w:sz w:val="18"/>
        </w:rPr>
        <w:t>합성 가격과 추세 표시</w:t>
      </w:r>
    </w:p>
    <w:p>
      <w:pPr>
        <w:keepNext/>
        <w:spacing w:after="40"/>
      </w:pPr>
      <w:r>
        <w:rPr>
          <w:b/>
        </w:rPr>
        <w:t xml:space="preserve">[4] TradingView  </w:t>
      </w:r>
      <w:hyperlink r:id="rId13">
        <w:r>
          <w:rPr>
            <w:color w:val="22577A"/>
          </w:rPr>
          <w:t>Strategy produces unrealistic results on non standard chart types</w:t>
        </w:r>
      </w:hyperlink>
    </w:p>
    <w:p>
      <w:pPr>
        <w:spacing w:after="160"/>
      </w:pPr>
      <w:r>
        <w:rPr>
          <w:sz w:val="18"/>
        </w:rPr>
        <w:t>비표준 차트의 백테스트 한계</w:t>
      </w:r>
    </w:p>
    <w:p>
      <w:pPr>
        <w:keepNext/>
        <w:spacing w:after="40"/>
      </w:pPr>
      <w:r>
        <w:rPr>
          <w:b/>
        </w:rPr>
        <w:t xml:space="preserve">[5] StockCharts  </w:t>
      </w:r>
      <w:hyperlink r:id="rId14">
        <w:r>
          <w:rPr>
            <w:color w:val="22577A"/>
          </w:rPr>
          <w:t>Introduction to Candlesticks</w:t>
        </w:r>
      </w:hyperlink>
    </w:p>
    <w:p>
      <w:pPr>
        <w:spacing w:after="160"/>
      </w:pPr>
      <w:r>
        <w:rPr>
          <w:sz w:val="18"/>
        </w:rPr>
        <w:t>캔들 구성과 기본 해석</w:t>
      </w:r>
    </w:p>
    <w:p>
      <w:pPr>
        <w:keepNext/>
        <w:spacing w:after="40"/>
      </w:pPr>
      <w:r>
        <w:rPr>
          <w:b/>
        </w:rPr>
        <w:t xml:space="preserve">[6] TradingView  </w:t>
      </w:r>
      <w:hyperlink r:id="rId15">
        <w:r>
          <w:rPr>
            <w:color w:val="22577A"/>
          </w:rPr>
          <w:t>How to configure your Supercharts</w:t>
        </w:r>
      </w:hyperlink>
    </w:p>
    <w:p>
      <w:pPr>
        <w:spacing w:after="160"/>
      </w:pPr>
      <w:r>
        <w:rPr>
          <w:sz w:val="18"/>
        </w:rPr>
        <w:t>축과 차트 설정</w:t>
      </w:r>
    </w:p>
    <w:p>
      <w:pPr>
        <w:keepNext/>
        <w:spacing w:after="40"/>
      </w:pPr>
      <w:r>
        <w:rPr>
          <w:b/>
        </w:rPr>
        <w:t xml:space="preserve">[7] TradingView  </w:t>
      </w:r>
      <w:hyperlink r:id="rId16">
        <w:r>
          <w:rPr>
            <w:color w:val="22577A"/>
          </w:rPr>
          <w:t>How to adjust data for dividends</w:t>
        </w:r>
      </w:hyperlink>
    </w:p>
    <w:p>
      <w:pPr>
        <w:spacing w:after="160"/>
      </w:pPr>
      <w:r>
        <w:rPr>
          <w:sz w:val="18"/>
        </w:rPr>
        <w:t>배당 조정</w:t>
      </w:r>
    </w:p>
    <w:p>
      <w:pPr>
        <w:keepNext/>
        <w:spacing w:after="40"/>
      </w:pPr>
      <w:r>
        <w:rPr>
          <w:b/>
        </w:rPr>
        <w:t xml:space="preserve">[8] 한국거래소  </w:t>
      </w:r>
      <w:hyperlink r:id="rId17">
        <w:r>
          <w:rPr>
            <w:color w:val="22577A"/>
          </w:rPr>
          <w:t>KIND 상세 공시 검색</w:t>
        </w:r>
      </w:hyperlink>
    </w:p>
    <w:p>
      <w:pPr>
        <w:spacing w:after="160"/>
      </w:pPr>
      <w:r>
        <w:rPr>
          <w:sz w:val="18"/>
        </w:rPr>
        <w:t>기업행동과 해당 날짜 공시 확인</w:t>
      </w:r>
    </w:p>
    <w:p>
      <w:pPr>
        <w:keepNext/>
        <w:spacing w:after="40"/>
      </w:pPr>
      <w:r>
        <w:rPr>
          <w:b/>
        </w:rPr>
        <w:t xml:space="preserve">[9] Fidelity  </w:t>
      </w:r>
      <w:hyperlink r:id="rId18">
        <w:r>
          <w:rPr>
            <w:color w:val="22577A"/>
          </w:rPr>
          <w:t>Support and resistance</w:t>
        </w:r>
      </w:hyperlink>
    </w:p>
    <w:p>
      <w:pPr>
        <w:spacing w:after="160"/>
      </w:pPr>
      <w:r>
        <w:rPr>
          <w:sz w:val="18"/>
        </w:rPr>
        <w:t>지지 저항과 역할 전환</w:t>
      </w:r>
    </w:p>
    <w:p>
      <w:pPr>
        <w:keepNext/>
        <w:spacing w:after="40"/>
      </w:pPr>
      <w:r>
        <w:rPr>
          <w:b/>
        </w:rPr>
        <w:t xml:space="preserve">[10] StockCharts  </w:t>
      </w:r>
      <w:hyperlink r:id="rId19">
        <w:r>
          <w:rPr>
            <w:color w:val="22577A"/>
          </w:rPr>
          <w:t>Candlestick Pattern Dictionary</w:t>
        </w:r>
      </w:hyperlink>
    </w:p>
    <w:p>
      <w:pPr>
        <w:spacing w:after="160"/>
      </w:pPr>
      <w:r>
        <w:rPr>
          <w:sz w:val="18"/>
        </w:rPr>
        <w:t>캔들 패턴 정의</w:t>
      </w:r>
    </w:p>
    <w:p>
      <w:pPr>
        <w:keepNext/>
        <w:spacing w:after="40"/>
      </w:pPr>
      <w:r>
        <w:rPr>
          <w:b/>
        </w:rPr>
        <w:t xml:space="preserve">[11] StockCharts  </w:t>
      </w:r>
      <w:hyperlink r:id="rId20">
        <w:r>
          <w:rPr>
            <w:color w:val="22577A"/>
          </w:rPr>
          <w:t>Candlestick Bullish Reversal Patterns</w:t>
        </w:r>
      </w:hyperlink>
    </w:p>
    <w:p>
      <w:pPr>
        <w:spacing w:after="160"/>
      </w:pPr>
      <w:r>
        <w:rPr>
          <w:sz w:val="18"/>
        </w:rPr>
        <w:t>선행 추세와 확인 조건</w:t>
      </w:r>
    </w:p>
    <w:p>
      <w:r>
        <w:br w:type="page"/>
      </w:r>
    </w:p>
    <w:p>
      <w:pPr>
        <w:pStyle w:val="Heading1"/>
      </w:pPr>
      <w:r>
        <w:t>18 참고자료 패턴과 거래량</w:t>
      </w:r>
    </w:p>
    <w:p>
      <w:r>
        <w:t>본문의 대괄호 번호와 대응한다. 자료명을 클릭하면 원문으로 이동한다. 증권사와 플랫폼 자료는 정의 및 사용법의 근거이며, 그 자체가 수익성의 실증 근거는 아니다.</w:t>
      </w:r>
    </w:p>
    <w:p>
      <w:pPr>
        <w:keepNext/>
        <w:spacing w:after="40"/>
      </w:pPr>
      <w:r>
        <w:rPr>
          <w:b/>
        </w:rPr>
        <w:t xml:space="preserve">[12] StockCharts  </w:t>
      </w:r>
      <w:hyperlink r:id="rId21">
        <w:r>
          <w:rPr>
            <w:color w:val="22577A"/>
          </w:rPr>
          <w:t>Chart Patterns</w:t>
        </w:r>
      </w:hyperlink>
    </w:p>
    <w:p>
      <w:pPr>
        <w:spacing w:after="160"/>
      </w:pPr>
      <w:r>
        <w:rPr>
          <w:sz w:val="18"/>
        </w:rPr>
        <w:t>여러 봉 패턴 분류</w:t>
      </w:r>
    </w:p>
    <w:p>
      <w:pPr>
        <w:keepNext/>
        <w:spacing w:after="40"/>
      </w:pPr>
      <w:r>
        <w:rPr>
          <w:b/>
        </w:rPr>
        <w:t xml:space="preserve">[13] Fidelity  </w:t>
      </w:r>
      <w:hyperlink r:id="rId22">
        <w:r>
          <w:rPr>
            <w:color w:val="22577A"/>
          </w:rPr>
          <w:t>Identifying Chart Patterns with Technical Analysis</w:t>
        </w:r>
      </w:hyperlink>
    </w:p>
    <w:p>
      <w:pPr>
        <w:spacing w:after="160"/>
      </w:pPr>
      <w:r>
        <w:rPr>
          <w:sz w:val="18"/>
        </w:rPr>
        <w:t>패턴 도식과 해석 교육자료</w:t>
      </w:r>
    </w:p>
    <w:p>
      <w:pPr>
        <w:keepNext/>
        <w:spacing w:after="40"/>
      </w:pPr>
      <w:r>
        <w:rPr>
          <w:b/>
        </w:rPr>
        <w:t xml:space="preserve">[14] StockCharts  </w:t>
      </w:r>
      <w:hyperlink r:id="rId23">
        <w:r>
          <w:rPr>
            <w:color w:val="22577A"/>
          </w:rPr>
          <w:t>Head and Shoulders Top</w:t>
        </w:r>
      </w:hyperlink>
    </w:p>
    <w:p>
      <w:pPr>
        <w:spacing w:after="160"/>
      </w:pPr>
      <w:r>
        <w:rPr>
          <w:sz w:val="18"/>
        </w:rPr>
        <w:t>헤드앤숄더와 넥라인</w:t>
      </w:r>
    </w:p>
    <w:p>
      <w:pPr>
        <w:keepNext/>
        <w:spacing w:after="40"/>
      </w:pPr>
      <w:r>
        <w:rPr>
          <w:b/>
        </w:rPr>
        <w:t xml:space="preserve">[15] StockCharts  </w:t>
      </w:r>
      <w:hyperlink r:id="rId24">
        <w:r>
          <w:rPr>
            <w:color w:val="22577A"/>
          </w:rPr>
          <w:t>Ascending Triangle</w:t>
        </w:r>
      </w:hyperlink>
    </w:p>
    <w:p>
      <w:pPr>
        <w:spacing w:after="160"/>
      </w:pPr>
      <w:r>
        <w:rPr>
          <w:sz w:val="18"/>
        </w:rPr>
        <w:t>삼각형 돌파와 거래량</w:t>
      </w:r>
    </w:p>
    <w:p>
      <w:pPr>
        <w:keepNext/>
        <w:spacing w:after="40"/>
      </w:pPr>
      <w:r>
        <w:rPr>
          <w:b/>
        </w:rPr>
        <w:t xml:space="preserve">[16] StockCharts  </w:t>
      </w:r>
      <w:hyperlink r:id="rId25">
        <w:r>
          <w:rPr>
            <w:color w:val="22577A"/>
          </w:rPr>
          <w:t>Flag Pennant</w:t>
        </w:r>
      </w:hyperlink>
    </w:p>
    <w:p>
      <w:pPr>
        <w:spacing w:after="160"/>
      </w:pPr>
      <w:r>
        <w:rPr>
          <w:sz w:val="18"/>
        </w:rPr>
        <w:t>지속 패턴과 선행 움직임</w:t>
      </w:r>
    </w:p>
    <w:p>
      <w:pPr>
        <w:keepNext/>
        <w:spacing w:after="40"/>
      </w:pPr>
      <w:r>
        <w:rPr>
          <w:b/>
        </w:rPr>
        <w:t xml:space="preserve">[17] StockCharts  </w:t>
      </w:r>
      <w:hyperlink r:id="rId26">
        <w:r>
          <w:rPr>
            <w:color w:val="22577A"/>
          </w:rPr>
          <w:t>Gaps and Gap Analysis</w:t>
        </w:r>
      </w:hyperlink>
    </w:p>
    <w:p>
      <w:pPr>
        <w:spacing w:after="160"/>
      </w:pPr>
      <w:r>
        <w:rPr>
          <w:sz w:val="18"/>
        </w:rPr>
        <w:t>갭의 분류와 해석</w:t>
      </w:r>
    </w:p>
    <w:p>
      <w:pPr>
        <w:keepNext/>
        <w:spacing w:after="40"/>
      </w:pPr>
      <w:r>
        <w:rPr>
          <w:b/>
        </w:rPr>
        <w:t xml:space="preserve">[18] StockCharts  </w:t>
      </w:r>
      <w:hyperlink r:id="rId27">
        <w:r>
          <w:rPr>
            <w:color w:val="22577A"/>
          </w:rPr>
          <w:t>Gap Trading Strategies</w:t>
        </w:r>
      </w:hyperlink>
    </w:p>
    <w:p>
      <w:pPr>
        <w:spacing w:after="160"/>
      </w:pPr>
      <w:r>
        <w:rPr>
          <w:sz w:val="18"/>
        </w:rPr>
        <w:t>갭 분류의 사후적 성격</w:t>
      </w:r>
    </w:p>
    <w:p>
      <w:pPr>
        <w:keepNext/>
        <w:spacing w:after="40"/>
      </w:pPr>
      <w:r>
        <w:rPr>
          <w:b/>
        </w:rPr>
        <w:t xml:space="preserve">[19] TradingView  </w:t>
      </w:r>
      <w:hyperlink r:id="rId28">
        <w:r>
          <w:rPr>
            <w:color w:val="22577A"/>
          </w:rPr>
          <w:t>Volume profile indicators basic concepts</w:t>
        </w:r>
      </w:hyperlink>
    </w:p>
    <w:p>
      <w:pPr>
        <w:spacing w:after="160"/>
      </w:pPr>
      <w:r>
        <w:rPr>
          <w:sz w:val="18"/>
        </w:rPr>
        <w:t>가격별 거래량과 방향 분류</w:t>
      </w:r>
    </w:p>
    <w:p>
      <w:pPr>
        <w:keepNext/>
        <w:spacing w:after="40"/>
      </w:pPr>
      <w:r>
        <w:rPr>
          <w:b/>
        </w:rPr>
        <w:t xml:space="preserve">[20] TradingView  </w:t>
      </w:r>
      <w:hyperlink r:id="rId29">
        <w:r>
          <w:rPr>
            <w:color w:val="22577A"/>
          </w:rPr>
          <w:t>Volume footprint charts a complete guide</w:t>
        </w:r>
      </w:hyperlink>
    </w:p>
    <w:p>
      <w:pPr>
        <w:spacing w:after="160"/>
      </w:pPr>
      <w:r>
        <w:rPr>
          <w:sz w:val="18"/>
        </w:rPr>
        <w:t>풋프린트와 거래량 표시</w:t>
      </w:r>
    </w:p>
    <w:p>
      <w:pPr>
        <w:keepNext/>
        <w:spacing w:after="40"/>
      </w:pPr>
      <w:r>
        <w:rPr>
          <w:b/>
        </w:rPr>
        <w:t xml:space="preserve">[21] Fidelity  </w:t>
      </w:r>
      <w:hyperlink r:id="rId30">
        <w:r>
          <w:rPr>
            <w:color w:val="22577A"/>
          </w:rPr>
          <w:t>Technical Indicator Guide</w:t>
        </w:r>
      </w:hyperlink>
    </w:p>
    <w:p>
      <w:pPr>
        <w:spacing w:after="160"/>
      </w:pPr>
      <w:r>
        <w:rPr>
          <w:sz w:val="18"/>
        </w:rPr>
        <w:t>지표 분류와 개별 설명</w:t>
      </w:r>
    </w:p>
    <w:p>
      <w:r>
        <w:br w:type="page"/>
      </w:r>
    </w:p>
    <w:p>
      <w:pPr>
        <w:pStyle w:val="Heading1"/>
      </w:pPr>
      <w:r>
        <w:t>19 참고자료 지표와 검증</w:t>
      </w:r>
    </w:p>
    <w:p>
      <w:r>
        <w:t>본문의 대괄호 번호와 대응한다. 자료명을 클릭하면 원문으로 이동한다. 증권사와 플랫폼 자료는 정의 및 사용법의 근거이며, 그 자체가 수익성의 실증 근거는 아니다.</w:t>
      </w:r>
    </w:p>
    <w:p>
      <w:pPr>
        <w:keepNext/>
        <w:spacing w:after="40"/>
      </w:pPr>
      <w:r>
        <w:rPr>
          <w:b/>
        </w:rPr>
        <w:t xml:space="preserve">[22] Fidelity  </w:t>
      </w:r>
      <w:hyperlink r:id="rId31">
        <w:r>
          <w:rPr>
            <w:color w:val="22577A"/>
          </w:rPr>
          <w:t>MACD</w:t>
        </w:r>
      </w:hyperlink>
    </w:p>
    <w:p>
      <w:pPr>
        <w:spacing w:after="160"/>
      </w:pPr>
      <w:r>
        <w:rPr>
          <w:sz w:val="18"/>
        </w:rPr>
        <w:t>MACD 계산과 교차 해석</w:t>
      </w:r>
    </w:p>
    <w:p>
      <w:pPr>
        <w:keepNext/>
        <w:spacing w:after="40"/>
      </w:pPr>
      <w:r>
        <w:rPr>
          <w:b/>
        </w:rPr>
        <w:t xml:space="preserve">[23] Fidelity  </w:t>
      </w:r>
      <w:hyperlink r:id="rId32">
        <w:r>
          <w:rPr>
            <w:color w:val="22577A"/>
          </w:rPr>
          <w:t>Relative Strength Index</w:t>
        </w:r>
      </w:hyperlink>
    </w:p>
    <w:p>
      <w:pPr>
        <w:spacing w:after="160"/>
      </w:pPr>
      <w:r>
        <w:rPr>
          <w:sz w:val="18"/>
        </w:rPr>
        <w:t>RSI와 다이버전스</w:t>
      </w:r>
    </w:p>
    <w:p>
      <w:pPr>
        <w:keepNext/>
        <w:spacing w:after="40"/>
      </w:pPr>
      <w:r>
        <w:rPr>
          <w:b/>
        </w:rPr>
        <w:t xml:space="preserve">[24] Fidelity  </w:t>
      </w:r>
      <w:hyperlink r:id="rId33">
        <w:r>
          <w:rPr>
            <w:color w:val="22577A"/>
          </w:rPr>
          <w:t>Bollinger Bands</w:t>
        </w:r>
      </w:hyperlink>
    </w:p>
    <w:p>
      <w:pPr>
        <w:spacing w:after="160"/>
      </w:pPr>
      <w:r>
        <w:rPr>
          <w:sz w:val="18"/>
        </w:rPr>
        <w:t>밴드 설정과 추세에서의 해석</w:t>
      </w:r>
    </w:p>
    <w:p>
      <w:pPr>
        <w:keepNext/>
        <w:spacing w:after="40"/>
      </w:pPr>
      <w:r>
        <w:rPr>
          <w:b/>
        </w:rPr>
        <w:t xml:space="preserve">[25] Fidelity  </w:t>
      </w:r>
      <w:hyperlink r:id="rId34">
        <w:r>
          <w:rPr>
            <w:color w:val="22577A"/>
          </w:rPr>
          <w:t>Average True Range</w:t>
        </w:r>
      </w:hyperlink>
    </w:p>
    <w:p>
      <w:pPr>
        <w:spacing w:after="160"/>
      </w:pPr>
      <w:r>
        <w:rPr>
          <w:sz w:val="18"/>
        </w:rPr>
        <w:t>변동성과 True Range 계산</w:t>
      </w:r>
    </w:p>
    <w:p>
      <w:pPr>
        <w:keepNext/>
        <w:spacing w:after="40"/>
      </w:pPr>
      <w:r>
        <w:rPr>
          <w:b/>
        </w:rPr>
        <w:t xml:space="preserve">[26] Fidelity  </w:t>
      </w:r>
      <w:hyperlink r:id="rId35">
        <w:r>
          <w:rPr>
            <w:color w:val="22577A"/>
          </w:rPr>
          <w:t>Average directional index ADX</w:t>
        </w:r>
      </w:hyperlink>
    </w:p>
    <w:p>
      <w:pPr>
        <w:spacing w:after="160"/>
      </w:pPr>
      <w:r>
        <w:rPr>
          <w:sz w:val="18"/>
        </w:rPr>
        <w:t>추세 강도와 방향 구분</w:t>
      </w:r>
    </w:p>
    <w:p>
      <w:pPr>
        <w:keepNext/>
        <w:spacing w:after="40"/>
      </w:pPr>
      <w:r>
        <w:rPr>
          <w:b/>
        </w:rPr>
        <w:t xml:space="preserve">[27] StockCharts  </w:t>
      </w:r>
      <w:hyperlink r:id="rId36">
        <w:r>
          <w:rPr>
            <w:color w:val="22577A"/>
          </w:rPr>
          <w:t>Fibonacci Retracements</w:t>
        </w:r>
      </w:hyperlink>
    </w:p>
    <w:p>
      <w:pPr>
        <w:spacing w:after="160"/>
      </w:pPr>
      <w:r>
        <w:rPr>
          <w:sz w:val="18"/>
        </w:rPr>
        <w:t>비율 표시 도구</w:t>
      </w:r>
    </w:p>
    <w:p>
      <w:pPr>
        <w:keepNext/>
        <w:spacing w:after="40"/>
      </w:pPr>
      <w:r>
        <w:rPr>
          <w:b/>
        </w:rPr>
        <w:t xml:space="preserve">[28] StockCharts  </w:t>
      </w:r>
      <w:hyperlink r:id="rId37">
        <w:r>
          <w:rPr>
            <w:color w:val="22577A"/>
          </w:rPr>
          <w:t>Harmonic Patterns</w:t>
        </w:r>
      </w:hyperlink>
    </w:p>
    <w:p>
      <w:pPr>
        <w:spacing w:after="160"/>
      </w:pPr>
      <w:r>
        <w:rPr>
          <w:sz w:val="18"/>
        </w:rPr>
        <w:t>가격 구간의 비율 관계</w:t>
      </w:r>
    </w:p>
    <w:p>
      <w:pPr>
        <w:keepNext/>
        <w:spacing w:after="40"/>
      </w:pPr>
      <w:r>
        <w:rPr>
          <w:b/>
        </w:rPr>
        <w:t xml:space="preserve">[29] Lo Mamaysky Wang 2000  </w:t>
      </w:r>
      <w:hyperlink r:id="rId38">
        <w:r>
          <w:rPr>
            <w:color w:val="22577A"/>
          </w:rPr>
          <w:t>Foundations of Technical Analysis</w:t>
        </w:r>
      </w:hyperlink>
    </w:p>
    <w:p>
      <w:pPr>
        <w:spacing w:after="160"/>
      </w:pPr>
      <w:r>
        <w:rPr>
          <w:sz w:val="18"/>
        </w:rPr>
        <w:t>패턴의 추가 정보에 관한 실증 연구</w:t>
      </w:r>
    </w:p>
    <w:p>
      <w:pPr>
        <w:keepNext/>
        <w:spacing w:after="40"/>
      </w:pPr>
      <w:r>
        <w:rPr>
          <w:b/>
        </w:rPr>
        <w:t xml:space="preserve">[30] Bailey 외  </w:t>
      </w:r>
      <w:hyperlink r:id="rId39">
        <w:r>
          <w:rPr>
            <w:color w:val="22577A"/>
          </w:rPr>
          <w:t>The Probability of Backtest Overfitting</w:t>
        </w:r>
      </w:hyperlink>
    </w:p>
    <w:p>
      <w:pPr>
        <w:spacing w:after="160"/>
      </w:pPr>
      <w:r>
        <w:rPr>
          <w:sz w:val="18"/>
        </w:rPr>
        <w:t>전략 선택과 과최적화</w:t>
      </w:r>
    </w:p>
    <w:p>
      <w:pPr>
        <w:keepNext/>
        <w:spacing w:after="40"/>
      </w:pPr>
      <w:r>
        <w:rPr>
          <w:b/>
        </w:rPr>
        <w:t xml:space="preserve">[31] SEC Investor.gov  </w:t>
      </w:r>
      <w:hyperlink r:id="rId40">
        <w:r>
          <w:rPr>
            <w:color w:val="22577A"/>
          </w:rPr>
          <w:t>Stop Stop Limit and Trailing Stop Orders</w:t>
        </w:r>
      </w:hyperlink>
    </w:p>
    <w:p>
      <w:pPr>
        <w:spacing w:after="160"/>
      </w:pPr>
      <w:r>
        <w:rPr>
          <w:sz w:val="18"/>
        </w:rPr>
        <w:t>주문 조건과 실제 체결가격의 차이</w:t>
      </w:r>
    </w:p>
    <w:sectPr w:rsidR="00FC693F" w:rsidRPr="0006063C" w:rsidSect="00034616">
      <w:footerReference w:type="default" r:id="rId9"/>
      <w:pgSz w:w="11906" w:h="16838"/>
      <w:pgMar w:top="1020" w:right="1020" w:bottom="964" w:left="102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76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6" w:lineRule="auto"/>
    </w:pPr>
    <w:rPr>
      <w:rFonts w:asciiTheme="majorHAnsi" w:eastAsiaTheme="majorEastAsia" w:hAnsiTheme="majorHAnsi" w:cstheme="majorBidi" w:ascii="맑은 고딕" w:hAnsi="맑은 고딕" w:eastAsia="맑은 고딕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contextualSpacing/>
    </w:pPr>
    <w:rPr>
      <w:rFonts w:ascii="맑은 고딕" w:hAnsi="맑은 고딕" w:eastAsia="맑은 고딕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contextualSpacing/>
    </w:pPr>
    <w:rPr>
      <w:rFonts w:ascii="맑은 고딕" w:hAnsi="맑은 고딕" w:eastAsia="맑은 고딕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schwab.com/learn/story/how-to-read-stock-charts-and-trading-patterns" TargetMode="External"/><Relationship Id="rId11" Type="http://schemas.openxmlformats.org/officeDocument/2006/relationships/hyperlink" Target="https://www.tradingview.com/support/folders/43000547460/" TargetMode="External"/><Relationship Id="rId12" Type="http://schemas.openxmlformats.org/officeDocument/2006/relationships/hyperlink" Target="https://www.tradingview.com/support/solutions/43000619436-understanding-heikin-ashi-charts/" TargetMode="External"/><Relationship Id="rId13" Type="http://schemas.openxmlformats.org/officeDocument/2006/relationships/hyperlink" Target="https://www.tradingview.com/support/solutions/43000481029-strategy-produces-unrealistic-results-on-non-standard-chart-types-heikin-ashi-renko-etc/" TargetMode="External"/><Relationship Id="rId14" Type="http://schemas.openxmlformats.org/officeDocument/2006/relationships/hyperlink" Target="https://chartschool.stockcharts.com/table-of-contents/chart-analysis/candlestick-charts/introduction-to-candlesticks" TargetMode="External"/><Relationship Id="rId15" Type="http://schemas.openxmlformats.org/officeDocument/2006/relationships/hyperlink" Target="https://www.tradingview.com/support/solutions/43000748166-how-to-configure-your-supercharts/" TargetMode="External"/><Relationship Id="rId16" Type="http://schemas.openxmlformats.org/officeDocument/2006/relationships/hyperlink" Target="https://www.tradingview.com/support/solutions/43000590597-how-to-adjust-data-for-dividends/" TargetMode="External"/><Relationship Id="rId17" Type="http://schemas.openxmlformats.org/officeDocument/2006/relationships/hyperlink" Target="https://kind.krx.co.kr/disclosure/details.do?disTypevalue=0313&amp;disclosureType=02&amp;method=searchDetailsMain" TargetMode="External"/><Relationship Id="rId18" Type="http://schemas.openxmlformats.org/officeDocument/2006/relationships/hyperlink" Target="https://www.fidelity.com/learning-center/trading-investing/technical-analysis/support-and-resistance" TargetMode="External"/><Relationship Id="rId19" Type="http://schemas.openxmlformats.org/officeDocument/2006/relationships/hyperlink" Target="https://chartschool.stockcharts.com/table-of-contents/chart-analysis/candlestick-charts/candlestick-pattern-dictionary" TargetMode="External"/><Relationship Id="rId20" Type="http://schemas.openxmlformats.org/officeDocument/2006/relationships/hyperlink" Target="https://chartschool.stockcharts.com/table-of-contents/chart-analysis/candlestick-charts/candlestick-bullish-reversal-patterns" TargetMode="External"/><Relationship Id="rId21" Type="http://schemas.openxmlformats.org/officeDocument/2006/relationships/hyperlink" Target="https://chartschool.stockcharts.com/table-of-contents/chart-analysis/chart-patterns" TargetMode="External"/><Relationship Id="rId22" Type="http://schemas.openxmlformats.org/officeDocument/2006/relationships/hyperlink" Target="https://www.fidelity.com/bin-public/060_www_fidelity_com/documents/learning-center/Idenitfying-Chart-Patterns.pdf" TargetMode="External"/><Relationship Id="rId23" Type="http://schemas.openxmlformats.org/officeDocument/2006/relationships/hyperlink" Target="https://chartschool.stockcharts.com/table-of-contents/chart-analysis/chart-patterns/head-and-shoulders-top" TargetMode="External"/><Relationship Id="rId24" Type="http://schemas.openxmlformats.org/officeDocument/2006/relationships/hyperlink" Target="https://chartschool.stockcharts.com/table-of-contents/chart-analysis/chart-patterns/ascending-triangle" TargetMode="External"/><Relationship Id="rId25" Type="http://schemas.openxmlformats.org/officeDocument/2006/relationships/hyperlink" Target="https://chartschool.stockcharts.com/table-of-contents/chart-analysis/chart-patterns/flag-pennant" TargetMode="External"/><Relationship Id="rId26" Type="http://schemas.openxmlformats.org/officeDocument/2006/relationships/hyperlink" Target="https://chartschool.stockcharts.com/table-of-contents/chart-analysis/gaps-and-gap-analysis" TargetMode="External"/><Relationship Id="rId27" Type="http://schemas.openxmlformats.org/officeDocument/2006/relationships/hyperlink" Target="https://chartschool.stockcharts.com/table-of-contents/trading-strategies-and-models/trading-strategies/gap-trading-strategies" TargetMode="External"/><Relationship Id="rId28" Type="http://schemas.openxmlformats.org/officeDocument/2006/relationships/hyperlink" Target="https://www.tradingview.com/support/solutions/43000502040-volume-profile-indicators-basic-concepts/" TargetMode="External"/><Relationship Id="rId29" Type="http://schemas.openxmlformats.org/officeDocument/2006/relationships/hyperlink" Target="https://www.tradingview.com/support/solutions/43000726164-volume-footprint-charts-a-complete-guide/" TargetMode="External"/><Relationship Id="rId30" Type="http://schemas.openxmlformats.org/officeDocument/2006/relationships/hyperlink" Target="https://www.fidelity.com/learning-center/trading-investing/technical-analysis" TargetMode="External"/><Relationship Id="rId31" Type="http://schemas.openxmlformats.org/officeDocument/2006/relationships/hyperlink" Target="https://www.fidelity.com/learning-center/trading-investing/technical-analysis/technical-indicator-guide/macd" TargetMode="External"/><Relationship Id="rId32" Type="http://schemas.openxmlformats.org/officeDocument/2006/relationships/hyperlink" Target="https://www.fidelity.com/learning-center/trading-investing/technical-analysis/technical-indicator-guide/rsi" TargetMode="External"/><Relationship Id="rId33" Type="http://schemas.openxmlformats.org/officeDocument/2006/relationships/hyperlink" Target="https://www.fidelity.com/learning-center/trading-investing/technical-analysis/technical-indicator-guide/bollinger-bands" TargetMode="External"/><Relationship Id="rId34" Type="http://schemas.openxmlformats.org/officeDocument/2006/relationships/hyperlink" Target="https://www.fidelity.com/learning-center/trading-investing/technical-analysis/technical-indicator-guide/atr" TargetMode="External"/><Relationship Id="rId35" Type="http://schemas.openxmlformats.org/officeDocument/2006/relationships/hyperlink" Target="https://www.fidelity.com/viewpoints/active-investor/average-directional-index-ADX" TargetMode="External"/><Relationship Id="rId36" Type="http://schemas.openxmlformats.org/officeDocument/2006/relationships/hyperlink" Target="https://chartschool.stockcharts.com/table-of-contents/chart-analysis/chart-annotation-tools/fibonacci-retracements" TargetMode="External"/><Relationship Id="rId37" Type="http://schemas.openxmlformats.org/officeDocument/2006/relationships/hyperlink" Target="https://chartschool.stockcharts.com/table-of-contents/trading-strategies-and-models/trading-strategies/harmonic-patterns" TargetMode="External"/><Relationship Id="rId38" Type="http://schemas.openxmlformats.org/officeDocument/2006/relationships/hyperlink" Target="https://www.nber.org/papers/w7613" TargetMode="External"/><Relationship Id="rId39" Type="http://schemas.openxmlformats.org/officeDocument/2006/relationships/hyperlink" Target="https://www.davidhbailey.com/dhbpapers/backtest-prob.pdf" TargetMode="External"/><Relationship Id="rId40" Type="http://schemas.openxmlformats.org/officeDocument/2006/relationships/hyperlink" Target="https://www.investor.gov/introduction-investing/general-resources/news-alerts/alerts-bulletins/investor-bulletins-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주식 차트 학습 콘텐츠 자료조사</dc:title>
  <dc:subject>차트 읽기와 패턴 해석 및 교육과정 설계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