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7 a 10 integrantes</w:t>
      </w:r>
    </w:p>
    <w:p>
      <w:pPr>
        <w:pStyle w:val="ListBullet"/>
        <w:spacing w:after="40"/>
      </w:pPr>
      <w:r>
        <w:t>Cada grupo tiene como mínimo 7 y como máximo 10 integrantes; con 48 alumnos se forman 5 o 6 grupos. Un grupo fuera de ese rango no puede presentar.</w:t>
      </w:r>
    </w:p>
    <w:p>
      <w:pPr>
        <w:pStyle w:val="ListBullet"/>
        <w:spacing w:after="40"/>
      </w:pPr>
      <w:r>
        <w:t>Todos los integrantes participan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creación del repositorio privado del grupo, configuración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repositorio del grupo.</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minutos cada uno).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w:t>
      </w:r>
    </w:p>
    <w:p>
      <w:pPr>
        <w:spacing w:after="120"/>
      </w:pPr>
    </w:p>
    <w:p>
      <w:pPr>
        <w:pStyle w:val="Heading1"/>
      </w:pPr>
      <w:r>
        <w:t>Reglas generales</w:t>
      </w:r>
    </w:p>
    <w:p>
      <w:pPr>
        <w:spacing w:after="60"/>
      </w:pPr>
      <w:r>
        <w:rPr>
          <w:b/>
        </w:rPr>
        <w:t xml:space="preserve">1. </w:t>
      </w:r>
      <w:r>
        <w:t>El alumno que no sustenta (no se presenta a la sustentación o no logra sustentar su pregunta) tiene nota 0 en este trabajo, aunque haya participado en la implementación.</w:t>
      </w:r>
    </w:p>
    <w:p>
      <w:pPr>
        <w:spacing w:after="60"/>
      </w:pPr>
      <w:r>
        <w:rPr>
          <w:b/>
        </w:rPr>
        <w:t xml:space="preserve">2.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3.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4. </w:t>
      </w:r>
      <w:r>
        <w:t>Todo entra por GitHub Actions. Cada cambio (código, YAML, migraciones, PgBouncer, métricas, pago) se sube con un push al repositorio del grupo y el pipeline lo despliega. Lo que se haga a mano (crear recursos en la consola, copiar archivos a la EC2, aws cloudformation deploy desde la PC) no cuenta.</w:t>
      </w:r>
    </w:p>
    <w:p>
      <w:pPr>
        <w:spacing w:after="60"/>
      </w:pPr>
      <w:r>
        <w:rPr>
          <w:b/>
        </w:rPr>
        <w:t xml:space="preserve">5. </w:t>
      </w:r>
      <w:r>
        <w:t>Cero secretos expuestos. Si una contraseña, clave de AWS o token de pago aparece en GitHub, en una captura o en los logs, el indicador no se cumple.</w:t>
      </w:r>
    </w:p>
    <w:p>
      <w:pPr>
        <w:spacing w:after="60"/>
      </w:pPr>
      <w:r>
        <w:rPr>
          <w:b/>
        </w:rPr>
        <w:t xml:space="preserve">6. </w:t>
      </w:r>
      <w:r>
        <w:t>Pagos solo de prueba. Prohibido usar tarjetas reales, credenciales de producción o la cuenta personal de Mercado Pago. Si se usan, el bloque 3 vale 0 aunque funcione.</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spacing w:after="80"/>
      </w:pPr>
      <w:r>
        <w:rPr>
          <w:b/>
          <w:color w:val="0B5CAD"/>
        </w:rPr>
        <w:t xml:space="preserve">Qué hace el grupo: (1a) Pipeline: primer despliegue y cambio automático: Antes de la presentación: crear el repositorio privado del grupo con el laboratorio (pasos al inicio del README); despliegue de infra/github-oidc.yaml con su usuario de GitHub y el nombre de su repositorio (rol que GitHub usa para entrar a AWS sin claves, anexo A); secretos AWS_ROLE_ARN y DB_PASSWORD en el repositorio del grupo; primer despliegue con el pipeline (unos 25 minutos). Luego, un cambio visible en Views/Shared/_Layout.cshtml (por ejemplo, un banner de Cyber Monday), commit y push a main; el pipeline lo despliega solo y CloudFormation reemplaza las EC2 de a una, sin cortar la tienda. (1b) AWS SDK configurado y en uso, sin claves: 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 (1c) Cae un servidor: Agrega productos al carrito, termina (destruye) una de las dos EC2 (anexo B, paso 1) y recarga la tienda varias veces. (1d) Cae una zona completa: Simula la caída de la zona A: le pone a la subred de la aplicación de esa zona (10.0.11.0/24) una NACL nueva, que bloquea todo, y fuerza el cambio de Redis a su copia (anexo B, paso 2). Mientras tanto sigue comprando. (1e) Evidencia de la caída y restauración: Reúne la evidencia de la caída de zona (anexo B, paso 3) y la restaura (paso 4).</w:t>
      </w:r>
      <w:r>
        <w:t/>
      </w:r>
    </w:p>
    <w:p>
      <w:pPr>
        <w:spacing w:after="80"/>
      </w:pPr>
      <w:r>
        <w:rPr>
          <w:b/>
          <w:color w:val="0B5CAD"/>
        </w:rPr>
        <w:t xml:space="preserve">Cómo lo demuestra: </w:t>
      </w:r>
      <w:r>
        <w:t>(1a) 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 (1b) Una compra y la venta en CloudWatch → Metrics → URPOnline. En la EC2 (Session Manager): no existe .aws ni variables AWS_ACCESS_KEY_ID, y aun así la app envía métricas y lee el secreto. En IAM, el rol de la EC2 con PutMetricData y GetSecretValue solo sobre ese secreto. (1c) La tienda sigue respondiendo y «Servido por» muestra solo la sobreviviente; el carrito sigue intacto; en EC2 → Auto Scaling Groups → Activity se ve el servidor terminado y el nuevo. (1d) El Target Group con la zona A en unhealthy y la zona B en healthy; una compra hecha durante la caída; en ElastiCache, el nodo principal cambiado. (1e) 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80"/>
      </w:pPr>
      <w:r>
        <w:rPr>
          <w:b/>
          <w:color w:val="0B5CAD"/>
        </w:rPr>
        <w:t xml:space="preserve">Qué debe poder explicar: </w:t>
      </w:r>
      <w:r>
        <w:t>(1a) Por qué OIDC es más seguro que guardar una Access Key en GitHub. (1b) Por qué en la EC2 no hacen falta claves; mínimo privilegio; qué pasaría si se subiera una Access Key a GitHub. (1c) Por qué el carrito no se perdió: está en Redis, no en la memoria del servidor. (1d) 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(1a) Tienda por HTTPS con balanceo, búsqueda y compra, desplegada por el pipeline, y el cambio llega solo, con commit, ejecución y tienda coincidentes. (1b) Métricas llegando desde AWS, EC2 sin claves y el rol IAM explicado; ninguna Access Key escrita en código, configuración o servidor. (1c) La tienda sigue, el carrito se mantiene y se ve el reemplazo automático. (1d) Zona A aislada, tienda vendiendo desde la zona B y failover de Redis hecho. (1e) Las tres evidencias y la restauración.</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spacing w:after="80"/>
      </w:pPr>
      <w:r>
        <w:rPr>
          <w:b/>
          <w:color w:val="0B5CAD"/>
        </w:rPr>
        <w:t xml:space="preserve">Qué hace el grupo: </w:t>
      </w:r>
      <w:r>
        <w:t>(2a) PgBouncer instalado por el pipeline: 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 (2b) Prueba de carga con k6: Con el script del anexo C (pruebas/carga.js, en el repositorio) ejecuta desde CloudShell dos pruebas iguales de 5 minutos: primero sin PgBouncer (antes del 2a) y después con PgBouncer. Anota la hora de cada una. No se hace en clase: los resultados se traen. (2c) Evidencia en CloudWatch e interpretación: Publica las métricas de PgBouncer (un script en cada EC2 consulta SHOW POOLS cada minuto y las envía a CloudWatch) y compara las dos pruebas en el dashboard (anexo C, pasos 4 a 7). (2d) Más productos por migración y vectores verificados en RDS: 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 (2e) Experimento de búsqueda e interpretación: Elige 10 búsquedas que no coincidan exactamente con ningún nombre, las prueba con el umbral 0,3 (Embeddings:MinSimilarity en appsettings.json), lo cambia a 0,6 por el pipeline y repite las mismas búsquedas (anexo D, paso 4).</w:t>
      </w:r>
    </w:p>
    <w:p>
      <w:pPr>
        <w:spacing w:after="80"/>
      </w:pPr>
      <w:r>
        <w:rPr>
          <w:b/>
          <w:color w:val="0B5CAD"/>
        </w:rPr>
        <w:t xml:space="preserve">Cómo lo demuestra: </w:t>
      </w:r>
      <w:r>
        <w:t>(2a) El diff en GitHub, el pipeline en verde y, por Session Manager, systemctl status pgbouncer funcionando y la conexión de la app en el 6432 (sin la contraseña). (2b) El script en GitHub y el resumen de k6 de cada prueba: peticiones por segundo, porcentaje de errores y p95. (2c) DatabaseConnections de RDS, errores 5xx y p95/p99 del ALB, CPU de las EC2, métricas de PgBouncer (clientes, conexiones reales, clientes esperando), una alarma disparada durante la carga y la tabla comparativa. (2d) La migración en GitHub; en la tienda, los productos nuevos; en RDS (psql desde la EC2), el conteo de ProductEmbeddings igual al de productos y la consulta de los 5 productos más parecidos a uno dado, con su similitud. (2e) La tabla de las 10 búsquedas con los relacionados de cada umbral y cuántos tienen sentido.</w:t>
      </w:r>
    </w:p>
    <w:p>
      <w:pPr>
        <w:spacing w:after="80"/>
      </w:pPr>
      <w:r>
        <w:rPr>
          <w:b/>
          <w:color w:val="0B5CAD"/>
        </w:rPr>
        <w:t xml:space="preserve">Qué debe poder explicar: </w:t>
      </w:r>
      <w:r>
        <w:t>(2c) La interpretación obligatoria: dónde estaba el cuello de botella y con qué métrica se prueba; qué cambió con PgBouncer y por qué; qué se ganó y qué se pagó; cuántos usuarios soporta la tienda y qué cambiarían para soportar el doble. (2d) Qué representan los 384 números y por qué la calidad de la descripción afecta la búsqueda. (2e) 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(2a) PgBouncer en ambas EC2, desplegado por el pipeline, la app usándolo y las migraciones directas. (2b) Script en el repositorio y dos pruebas comparables, sin y con PgBouncer. (2c) Comparación completa, métricas de PgBouncer publicadas, alarma disparada e interpretación sustentada con los datos. (2d) Al menos 30 productos nuevos desplegados por el pipeline, todos con vector, y la consulta de similitud ejecutada y explicada. (2e) Tabla completa con los dos umbrales, cambio hecho por el pipeline e interpretación sustentada.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spacing w:after="80"/>
      </w:pPr>
      <w:r>
        <w:rPr>
          <w:b/>
          <w:color w:val="0B5CAD"/>
        </w:rPr>
        <w:t xml:space="preserve">Qué hace el grupo: </w:t>
      </w:r>
      <w:r>
        <w:t>(3a) Métricas del carrito con el AWS SDK: 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 (3b) Gráfica, alarma y usuarios simulados: En el YAML: una gráfica con carritos activos y compras juntos (la conversión) y una alarma de carritos abandonados (carritos activos y 0 compras durante 15 minutos). Con k6 simula unos 30 clientes que agregan al carrito sin pagar (cada uno con su sesión y el token del formulario). (3c) Credenciales de pago seguras: Crea su aplicación y cuentas de prueba en Mercado Pago y guarda el token de prueba en Secrets Manager (secreto creado por el YAML sin el valor, con permiso de lectura para el rol de la EC2). La app lo lee con el AWS SDK. (3d) Pago con tarjeta de prueba: En Controllers/CheckoutController.cs, después de guardar el pedido, la tienda pide a Mercado Pago el link de pago (con el número de pedido y la dirección de regreso) y lleva al cliente a pagar. (3e) Confirmación segura al volver: Al regresar, la tienda consulta el pago a Mercado Pago desde el servidor y solo si está aprobado marca PAGADO. Si el cliente recarga la página, nada se registra dos veces.</w:t>
      </w:r>
    </w:p>
    <w:p>
      <w:pPr>
        <w:spacing w:after="80"/>
      </w:pPr>
      <w:r>
        <w:rPr>
          <w:b/>
          <w:color w:val="0B5CAD"/>
        </w:rPr>
        <w:t xml:space="preserve">Cómo lo demuestra: </w:t>
      </w:r>
      <w:r>
        <w:t>(3a) Las dos métricas con datos en CloudWatch → Metrics → URPOnline, agregando productos desde varios navegadores. (3b) ActiveCarts sube a unos 30, OrdersCreated queda en 0, la alarma se activa; una compra real la devuelve a OK. (3c) El secreto en Secrets Manager (sin el valor); el token no aparece en GitHub ni en la EC2. (3d) Compra, paga con el comprador de prueba y una tarjeta de prueba, y vuelve a la tienda. (3e) Con titular APRO el pedido pasa a PAGADO; con OTHE o FUND queda en PENDIENTE_PAGO y el cliente ve el rechazo; al recargar, nada se duplica.</w:t>
      </w:r>
    </w:p>
    <w:p>
      <w:pPr>
        <w:spacing w:after="80"/>
      </w:pPr>
      <w:r>
        <w:rPr>
          <w:b/>
          <w:color w:val="0B5CAD"/>
        </w:rPr>
        <w:t xml:space="preserve">Qué debe poder explicar: </w:t>
      </w:r>
      <w:r>
        <w:t>(3e) 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(3a) Las dos métricas con datos correctos (ActiveCarts cuenta personas, no clics). (3b) Gráfica y alarma creadas desde el YAML, y la simulación activa y recupera la alarma. (3c) El token solo está en Secrets Manager, creado y autorizado desde el YAML. (3d) El ciclo completo funciona, solo con elementos de prueba. (3e) Consulta el pago desde el servidor, distingue aprobado y rechazado y no duplica.</w:t>
      </w:r>
    </w:p>
    <w:p>
      <w:pPr>
        <w:keepNext/>
        <w:spacing w:after="40"/>
      </w:pPr>
      <w:r>
        <w:rPr>
          <w:b/>
          <w:i w:val="0"/>
          <w:color w:val="0B5CAD"/>
        </w:rPr>
        <w:t>Dónde cambiar en GitHub (en el repositorio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pPr>
        <w:spacing w:after="80"/>
        <w:shd w:val="clear" w:color="auto" w:fill="FDECEA"/>
        <w:pBdr>
          <w:left w:val="single" w:sz="18" w:space="6" w:color="B42318"/>
        </w:pBdr>
      </w:pPr>
      <w:r>
        <w:rPr>
          <w:b/>
          <w:i w:val="0"/>
          <w:color w:val="B42318"/>
        </w:rPr>
        <w:t>El alumno que no sustenta (no se presenta a la sustentación o no logra sustentar su pregunta) tiene nota 0 en este trabajo, aunque haya participado en la implementación.</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Repositorio: ____________________________________</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color="auto" w:fill="0B5CAD"/>
          </w:tcPr>
          <w:p>
            <w:r/>
            <w:r>
              <w:rPr>
                <w:b/>
                <w:color w:val="FFFFFF"/>
                <w:sz w:val="19"/>
              </w:rPr>
              <w:t>Categoría</w:t>
            </w:r>
          </w:p>
        </w:tc>
        <w:tc>
          <w:tcPr>
            <w:tcW w:type="dxa" w:w="5669"/>
            <w:shd w:val="clear" w:color="auto" w:fill="0B5CAD"/>
          </w:tcPr>
          <w:p>
            <w:r/>
            <w:r>
              <w:rPr>
                <w:b/>
                <w:color w:val="FFFFFF"/>
                <w:sz w:val="19"/>
              </w:rPr>
              <w:t>Pasos</w:t>
            </w:r>
          </w:p>
        </w:tc>
        <w:tc>
          <w:tcPr>
            <w:tcW w:type="dxa" w:w="1361"/>
            <w:shd w:val="clear" w:color="auto" w:fill="0B5CAD"/>
          </w:tcPr>
          <w:p>
            <w:pPr>
              <w:jc w:val="center"/>
            </w:pPr>
            <w:r/>
            <w:r>
              <w:rPr>
                <w:b/>
                <w:color w:val="FFFFFF"/>
                <w:sz w:val="19"/>
              </w:rPr>
              <w:t>Puntaje</w:t>
            </w:r>
          </w:p>
        </w:tc>
      </w:tr>
      <w:tr>
        <w:tc>
          <w:tcPr>
            <w:tcW w:type="dxa" w:w="2608"/>
          </w:tcPr>
          <w:p>
            <w:r/>
            <w:r>
              <w:rPr>
                <w:b/>
                <w:sz w:val="19"/>
              </w:rPr>
              <w:t>Bloque 1: Despliegue, AWS SDK y fallas</w:t>
            </w:r>
          </w:p>
        </w:tc>
        <w:tc>
          <w:tcPr>
            <w:tcW w:type="dxa" w:w="5669"/>
          </w:tcPr>
          <w:p>
            <w:r/>
            <w:r>
              <w:rPr>
                <w:b w:val="0"/>
                <w:sz w:val="19"/>
              </w:rPr>
              <w:t>La tienda funciona por HTTPS con balanceo, búsqueda y compra, desplegada por el pipeline, y un cambio llega solo, con commit, ejecución y tienda coincidentes. Las métricas llegan desde AWS, la EC2 no tiene claves y el rol IAM está explicado; ninguna Access Key está escrita en código, configuración o servidor. Cuando cae un servidor, la tienda sigue, el carrito se mantiene y se ve el reemplazo automático. Cuando cae una zona, la zona A queda aislada, la tienda vende desde la zona B y se hace el failover de Redis. Se presentan las tres evidencias de la caída y la restauración.</w:t>
            </w:r>
          </w:p>
        </w:tc>
        <w:tc>
          <w:tcPr>
            <w:tcW w:type="dxa" w:w="1361"/>
          </w:tcPr>
          <w:p>
            <w:pPr>
              <w:jc w:val="center"/>
            </w:pPr>
            <w:r/>
            <w:r>
              <w:rPr>
                <w:b w:val="0"/>
                <w:sz w:val="19"/>
              </w:rPr>
            </w:r>
          </w:p>
        </w:tc>
      </w:tr>
      <w:tr>
        <w:tc>
          <w:tcPr>
            <w:tcW w:type="dxa" w:w="2608"/>
          </w:tcPr>
          <w:p>
            <w:r/>
            <w:r>
              <w:rPr>
                <w:b/>
                <w:sz w:val="19"/>
              </w:rPr>
              <w:t>Bloque 2: PostgreSQL: carga y búsqueda por vectores</w:t>
            </w:r>
          </w:p>
        </w:tc>
        <w:tc>
          <w:tcPr>
            <w:tcW w:type="dxa" w:w="5669"/>
          </w:tcPr>
          <w:p>
            <w:r/>
            <w:r>
              <w:rPr>
                <w:b w:val="0"/>
                <w:sz w:val="19"/>
              </w:rPr>
              <w:t>PgBouncer está en ambas EC2, desplegado por el pipeline, con la app usándolo y las migraciones directas. El script de carga está en el repositorio, con dos pruebas comparables, sin y con PgBouncer. La comparación está completa, con las métricas de PgBouncer publicadas, la alarma disparada y la interpretación sustentada con los datos. Hay al menos 30 productos nuevos desplegados por el pipeline, todos con vector, y la consulta de similitud ejecutada y explicada. La tabla de búsquedas está completa con los dos umbrales, el cambio se hizo por el pipeline y la interpretación está sustentada.</w:t>
            </w:r>
          </w:p>
        </w:tc>
        <w:tc>
          <w:tcPr>
            <w:tcW w:type="dxa" w:w="1361"/>
          </w:tcPr>
          <w:p>
            <w:pPr>
              <w:jc w:val="center"/>
            </w:pPr>
            <w:r/>
            <w:r>
              <w:rPr>
                <w:b w:val="0"/>
                <w:sz w:val="19"/>
              </w:rPr>
            </w:r>
          </w:p>
        </w:tc>
      </w:tr>
      <w:tr>
        <w:tc>
          <w:tcPr>
            <w:tcW w:type="dxa" w:w="2608"/>
          </w:tcPr>
          <w:p>
            <w:r/>
            <w:r>
              <w:rPr>
                <w:b/>
                <w:sz w:val="19"/>
              </w:rPr>
              <w:t>Bloque 3: Carrito y pago</w:t>
            </w:r>
          </w:p>
        </w:tc>
        <w:tc>
          <w:tcPr>
            <w:tcW w:type="dxa" w:w="5669"/>
          </w:tcPr>
          <w:p>
            <w:r/>
            <w:r>
              <w:rPr>
                <w:b w:val="0"/>
                <w:sz w:val="19"/>
              </w:rPr>
              <w:t>Las dos métricas del carrito tienen datos correctos (ActiveCarts cuenta personas, no clics). La gráfica y la alarma se crearon desde el YAML, y la simulación activa y recupera la alarma. El token de pago solo está en Secrets Manager, creado y autorizado desde el YAML. El ciclo de pago completo funciona, solo con elementos de prueba. La tienda consulta el pago desde el servidor, distingue aprobado y rechazado y no duplica.</w:t>
            </w:r>
          </w:p>
        </w:tc>
        <w:tc>
          <w:tcPr>
            <w:tcW w:type="dxa" w:w="1361"/>
          </w:tcPr>
          <w:p>
            <w:pPr>
              <w:jc w:val="center"/>
            </w:pPr>
            <w:r/>
            <w:r>
              <w:rPr>
                <w:b w:val="0"/>
                <w:sz w:val="19"/>
              </w:rPr>
            </w:r>
          </w:p>
        </w:tc>
      </w:tr>
      <w:tr>
        <w:tc>
          <w:tcPr>
            <w:tcW w:type="dxa" w:w="2608"/>
          </w:tcPr>
          <w:p>
            <w:r/>
            <w:r>
              <w:rPr>
                <w:b/>
                <w:sz w:val="19"/>
              </w:rPr>
              <w:t>Bloque 4: Sustentación</w:t>
            </w:r>
          </w:p>
        </w:tc>
        <w:tc>
          <w:tcPr>
            <w:tcW w:type="dxa" w:w="5669"/>
          </w:tcPr>
          <w:p>
            <w:r/>
            <w:r>
              <w:rPr>
                <w:b w:val="0"/>
                <w:sz w:val="19"/>
              </w:rPr>
              <w:t>Cada integrante responde una pregunta sorteada del banco. Si todos sustentan bien su pregunta, 5; si un solo integrante no logra sustentar, 0.</w:t>
            </w:r>
          </w:p>
        </w:tc>
        <w:tc>
          <w:tcPr>
            <w:tcW w:type="dxa" w:w="1361"/>
          </w:tcPr>
          <w:p>
            <w:pPr>
              <w:jc w:val="center"/>
            </w:pPr>
            <w:r/>
            <w:r>
              <w:rPr>
                <w:b w:val="0"/>
                <w:sz w:val="19"/>
              </w:rPr>
            </w:r>
          </w:p>
        </w:tc>
      </w:tr>
      <w:tr>
        <w:tc>
          <w:tcPr>
            <w:tcW w:type="dxa" w:w="2608"/>
          </w:tcPr>
          <w:p>
            <w:r/>
            <w:r>
              <w:rPr>
                <w:b/>
                <w:sz w:val="19"/>
              </w:rPr>
              <w:t>Nota final</w:t>
            </w:r>
          </w:p>
        </w:tc>
        <w:tc>
          <w:tcPr>
            <w:tcW w:type="dxa" w:w="5669"/>
          </w:tcPr>
          <w:p>
            <w:r/>
            <w:r>
              <w:rPr>
                <w:b w:val="0"/>
                <w:sz w:val="19"/>
              </w:rPr>
            </w:r>
          </w:p>
        </w:tc>
        <w:tc>
          <w:tcPr>
            <w:tcW w:type="dxa" w:w="1361"/>
          </w:tcPr>
          <w:p>
            <w:pPr>
              <w:jc w:val="center"/>
            </w:pPr>
            <w:r/>
            <w:r>
              <w:rPr>
                <w:b w:val="0"/>
                <w:sz w:val="19"/>
              </w:rPr>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ortexgovernor/tiendaonline/discussions" TargetMode="External"/><Relationship Id="rId10" Type="http://schemas.openxmlformats.org/officeDocument/2006/relationships/hyperlink" Target="https://github.com/cortexgovernor/tiendaonline/blob/main/infra/github-oidc.yaml" TargetMode="External"/><Relationship Id="rId11" Type="http://schemas.openxmlformats.org/officeDocument/2006/relationships/hyperlink" Target="https://github.com/cortexgovernor/tiendaonline/blob/main/.github/workflows/deploy-aws.yml" TargetMode="External"/><Relationship Id="rId12" Type="http://schemas.openxmlformats.org/officeDocument/2006/relationships/hyperlink" Target="https://github.com/cortexgovernor/tiendaonline/blob/main/Views/Shared/_Layout.cshtml" TargetMode="External"/><Relationship Id="rId13" Type="http://schemas.openxmlformats.org/officeDocument/2006/relationships/hyperlink" Target="https://github.com/cortexgovernor/tiendaonline/blob/main/Services/BusinessMetrics.cs" TargetMode="External"/><Relationship Id="rId14" Type="http://schemas.openxmlformats.org/officeDocument/2006/relationships/hyperlink" Target="https://github.com/cortexgovernor/tiendaonline/blob/main/Services/DatabaseSecret.cs" TargetMode="External"/><Relationship Id="rId15" Type="http://schemas.openxmlformats.org/officeDocument/2006/relationships/hyperlink" Target="https://github.com/cortexgovernor/tiendaonline/blob/main/scripts/analizar-red.sh" TargetMode="External"/><Relationship Id="rId16" Type="http://schemas.openxmlformats.org/officeDocument/2006/relationships/hyperlink" Target="https://github.com/cortexgovernor/tiendaonline/blob/main/infra/urponline-oneclick.yaml" TargetMode="External"/><Relationship Id="rId17" Type="http://schemas.openxmlformats.org/officeDocument/2006/relationships/hyperlink" Target="https://github.com/cortexgovernor/tiendaonline/blob/main/Program.cs" TargetMode="External"/><Relationship Id="rId18" Type="http://schemas.openxmlformats.org/officeDocument/2006/relationships/hyperlink" Target="https://github.com/cortexgovernor/tiendaonline/blob/main/scripts/pgbouncer.ini.example" TargetMode="External"/><Relationship Id="rId19" Type="http://schemas.openxmlformats.org/officeDocument/2006/relationships/hyperlink" Target="https://github.com/cortexgovernor/tiendaonline/blob/main/Data/Migrations/" TargetMode="External"/><Relationship Id="rId20" Type="http://schemas.openxmlformats.org/officeDocument/2006/relationships/hyperlink" Target="https://github.com/cortexgovernor/tiendaonline/blob/main/Services/ProductEmbeddingIndexer.cs" TargetMode="External"/><Relationship Id="rId21" Type="http://schemas.openxmlformats.org/officeDocument/2006/relationships/hyperlink" Target="https://github.com/cortexgovernor/tiendaonline/blob/main/Services/ProductVectorStore.cs" TargetMode="External"/><Relationship Id="rId22" Type="http://schemas.openxmlformats.org/officeDocument/2006/relationships/hyperlink" Target="https://github.com/cortexgovernor/tiendaonline/blob/main/appsettings.json" TargetMode="External"/><Relationship Id="rId23" Type="http://schemas.openxmlformats.org/officeDocument/2006/relationships/hyperlink" Target="https://github.com/cortexgovernor/tiendaonline/blob/main/Controllers/CartController.cs" TargetMode="External"/><Relationship Id="rId24" Type="http://schemas.openxmlformats.org/officeDocument/2006/relationships/hyperlink" Target="https://github.com/cortexgovernor/tiendaonline/blob/main/Controllers/CheckoutController.cs" TargetMode="External"/><Relationship Id="rId25" Type="http://schemas.openxmlformats.org/officeDocument/2006/relationships/hyperlink" Target="https://github.com/cortexgovernor/tiendaonline/blob/main/Controllers/PaymentsController.cs" TargetMode="External"/><Relationship Id="rId26" Type="http://schemas.openxmlformats.org/officeDocument/2006/relationships/hyperlink" Target="https://github.com/cortexgovernor/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