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Rúbrica de evaluación: caso URPOnline en AWS</w:t>
      </w:r>
    </w:p>
    <w:p>
      <w:pPr>
        <w:spacing w:after="120"/>
      </w:pPr>
      <w:r>
        <w:rPr>
          <w:b/>
          <w:i w:val="0"/>
          <w:color w:val="0B5CAD"/>
          <w:sz w:val="24"/>
        </w:rPr>
        <w:t>Curso AWS Fundamentos · Laboratorio TiendaOnline (.NET 8) · Evaluación grupal · Nota máxima: 20 puntos</w:t>
      </w:r>
    </w:p>
    <w:p>
      <w:pPr>
        <w:keepNext/>
        <w:spacing w:after="80"/>
      </w:pPr>
      <w:r>
        <w:rPr>
          <w:b/>
          <w:i w:val="0"/>
          <w:sz w:val="24"/>
        </w:rPr>
        <w:t>Qué se evalúa</w:t>
      </w:r>
    </w:p>
    <w:p>
      <w:pPr>
        <w:spacing w:after="160"/>
      </w:pPr>
      <w:r>
        <w:rPr>
          <w:b w:val="0"/>
          <w:i w:val="0"/>
        </w:rPr>
        <w:t>Subir la tienda a AWS es solo el punto de partida. La nota se gana resolviendo desafíos reales de una tienda en Cyber Monday: que no se caiga, que aguante la carga, que el negocio vea qué pasa y que cobre de forma segura. Al final, cada integrante debe demostrar que entiende todo el proyecto.</w:t>
      </w:r>
    </w:p>
    <w:p>
      <w:pPr>
        <w:keepNext/>
        <w:spacing w:after="80"/>
      </w:pPr>
      <w:r>
        <w:rPr>
          <w:b/>
          <w:i w:val="0"/>
          <w:sz w:val="24"/>
        </w:rPr>
        <w:t>Resumen de puntajes</w:t>
      </w:r>
    </w:p>
    <w:tbl>
      <w:tblPr>
        <w:tblStyle w:val="TableGrid"/>
        <w:tblW w:type="auto" w:w="0"/>
        <w:jc w:val="center"/>
        <w:tblLook w:firstColumn="1" w:firstRow="1" w:lastColumn="0" w:lastRow="0" w:noHBand="0" w:noVBand="1" w:val="04A0"/>
      </w:tblPr>
      <w:tblGrid>
        <w:gridCol w:w="3213"/>
        <w:gridCol w:w="3213"/>
        <w:gridCol w:w="3213"/>
      </w:tblGrid>
      <w:tr>
        <w:tc>
          <w:tcPr>
            <w:tcW w:type="dxa" w:w="794"/>
            <w:shd w:val="clear" w:color="auto" w:fill="0B5CAD"/>
          </w:tcPr>
          <w:p>
            <w:pPr>
              <w:jc w:val="center"/>
            </w:pPr>
            <w:r/>
            <w:r>
              <w:rPr>
                <w:b/>
                <w:color w:val="FFFFFF"/>
                <w:sz w:val="19"/>
              </w:rPr>
              <w:t>Bloque</w:t>
            </w:r>
          </w:p>
        </w:tc>
        <w:tc>
          <w:tcPr>
            <w:tcW w:type="dxa" w:w="7257"/>
            <w:shd w:val="clear" w:color="auto" w:fill="0B5CAD"/>
          </w:tcPr>
          <w:p>
            <w:r/>
            <w:r>
              <w:rPr>
                <w:b/>
                <w:color w:val="FFFFFF"/>
                <w:sz w:val="19"/>
              </w:rPr>
              <w:t>Qué se evalúa</w:t>
            </w:r>
          </w:p>
        </w:tc>
        <w:tc>
          <w:tcPr>
            <w:tcW w:type="dxa" w:w="1587"/>
            <w:shd w:val="clear" w:color="auto" w:fill="0B5CAD"/>
          </w:tcPr>
          <w:p>
            <w:pPr>
              <w:jc w:val="center"/>
            </w:pPr>
            <w:r/>
            <w:r>
              <w:rPr>
                <w:b/>
                <w:color w:val="FFFFFF"/>
                <w:sz w:val="19"/>
              </w:rPr>
              <w:t>Puntos</w:t>
            </w:r>
          </w:p>
        </w:tc>
      </w:tr>
      <w:tr>
        <w:tc>
          <w:tcPr>
            <w:tcW w:type="dxa" w:w="794"/>
          </w:tcPr>
          <w:p>
            <w:pPr>
              <w:jc w:val="center"/>
            </w:pPr>
            <w:r/>
            <w:r>
              <w:rPr>
                <w:b/>
                <w:sz w:val="19"/>
              </w:rPr>
              <w:t>1</w:t>
            </w:r>
          </w:p>
        </w:tc>
        <w:tc>
          <w:tcPr>
            <w:tcW w:type="dxa" w:w="7257"/>
          </w:tcPr>
          <w:p>
            <w:r/>
            <w:r>
              <w:rPr>
                <w:b w:val="0"/>
                <w:sz w:val="19"/>
              </w:rPr>
              <w:t>Despliegue, AWS SDK y fallas</w:t>
            </w:r>
          </w:p>
        </w:tc>
        <w:tc>
          <w:tcPr>
            <w:tcW w:type="dxa" w:w="1587"/>
          </w:tcPr>
          <w:p>
            <w:pPr>
              <w:jc w:val="center"/>
            </w:pPr>
            <w:r/>
            <w:r>
              <w:rPr>
                <w:b w:val="0"/>
                <w:sz w:val="19"/>
              </w:rPr>
              <w:t>5 o 0</w:t>
            </w:r>
          </w:p>
        </w:tc>
      </w:tr>
      <w:tr>
        <w:tc>
          <w:tcPr>
            <w:tcW w:type="dxa" w:w="794"/>
          </w:tcPr>
          <w:p>
            <w:pPr>
              <w:jc w:val="center"/>
            </w:pPr>
            <w:r/>
            <w:r>
              <w:rPr>
                <w:b/>
                <w:sz w:val="19"/>
              </w:rPr>
              <w:t>2</w:t>
            </w:r>
          </w:p>
        </w:tc>
        <w:tc>
          <w:tcPr>
            <w:tcW w:type="dxa" w:w="7257"/>
          </w:tcPr>
          <w:p>
            <w:r/>
            <w:r>
              <w:rPr>
                <w:b w:val="0"/>
                <w:sz w:val="19"/>
              </w:rPr>
              <w:t>PostgreSQL: carga y búsqueda por vectores</w:t>
            </w:r>
          </w:p>
        </w:tc>
        <w:tc>
          <w:tcPr>
            <w:tcW w:type="dxa" w:w="1587"/>
          </w:tcPr>
          <w:p>
            <w:pPr>
              <w:jc w:val="center"/>
            </w:pPr>
            <w:r/>
            <w:r>
              <w:rPr>
                <w:b w:val="0"/>
                <w:sz w:val="19"/>
              </w:rPr>
              <w:t>5 o 0</w:t>
            </w:r>
          </w:p>
        </w:tc>
      </w:tr>
      <w:tr>
        <w:tc>
          <w:tcPr>
            <w:tcW w:type="dxa" w:w="794"/>
          </w:tcPr>
          <w:p>
            <w:pPr>
              <w:jc w:val="center"/>
            </w:pPr>
            <w:r/>
            <w:r>
              <w:rPr>
                <w:b/>
                <w:sz w:val="19"/>
              </w:rPr>
              <w:t>3</w:t>
            </w:r>
          </w:p>
        </w:tc>
        <w:tc>
          <w:tcPr>
            <w:tcW w:type="dxa" w:w="7257"/>
          </w:tcPr>
          <w:p>
            <w:r/>
            <w:r>
              <w:rPr>
                <w:b w:val="0"/>
                <w:sz w:val="19"/>
              </w:rPr>
              <w:t>Carrito y pago</w:t>
            </w:r>
          </w:p>
        </w:tc>
        <w:tc>
          <w:tcPr>
            <w:tcW w:type="dxa" w:w="1587"/>
          </w:tcPr>
          <w:p>
            <w:pPr>
              <w:jc w:val="center"/>
            </w:pPr>
            <w:r/>
            <w:r>
              <w:rPr>
                <w:b w:val="0"/>
                <w:sz w:val="19"/>
              </w:rPr>
              <w:t>5 o 0</w:t>
            </w:r>
          </w:p>
        </w:tc>
      </w:tr>
      <w:tr>
        <w:tc>
          <w:tcPr>
            <w:tcW w:type="dxa" w:w="794"/>
          </w:tcPr>
          <w:p>
            <w:pPr>
              <w:jc w:val="center"/>
            </w:pPr>
            <w:r/>
            <w:r>
              <w:rPr>
                <w:b/>
                <w:sz w:val="19"/>
              </w:rPr>
              <w:t>4</w:t>
            </w:r>
          </w:p>
        </w:tc>
        <w:tc>
          <w:tcPr>
            <w:tcW w:type="dxa" w:w="7257"/>
          </w:tcPr>
          <w:p>
            <w:r/>
            <w:r>
              <w:rPr>
                <w:b w:val="0"/>
                <w:sz w:val="19"/>
              </w:rPr>
              <w:t>Sustentación individual</w:t>
            </w:r>
          </w:p>
        </w:tc>
        <w:tc>
          <w:tcPr>
            <w:tcW w:type="dxa" w:w="1587"/>
          </w:tcPr>
          <w:p>
            <w:pPr>
              <w:jc w:val="center"/>
            </w:pPr>
            <w:r/>
            <w:r>
              <w:rPr>
                <w:b w:val="0"/>
                <w:sz w:val="19"/>
              </w:rPr>
              <w:t>5 o 0</w:t>
            </w:r>
          </w:p>
        </w:tc>
      </w:tr>
      <w:tr>
        <w:tc>
          <w:tcPr>
            <w:tcW w:type="dxa" w:w="794"/>
          </w:tcPr>
          <w:p>
            <w:pPr>
              <w:jc w:val="center"/>
            </w:pPr>
            <w:r/>
            <w:r>
              <w:rPr>
                <w:b/>
                <w:sz w:val="19"/>
              </w:rPr>
            </w:r>
          </w:p>
        </w:tc>
        <w:tc>
          <w:tcPr>
            <w:tcW w:type="dxa" w:w="7257"/>
          </w:tcPr>
          <w:p>
            <w:r/>
            <w:r>
              <w:rPr>
                <w:b w:val="0"/>
                <w:sz w:val="19"/>
              </w:rPr>
              <w:t>Total</w:t>
            </w:r>
          </w:p>
        </w:tc>
        <w:tc>
          <w:tcPr>
            <w:tcW w:type="dxa" w:w="1587"/>
          </w:tcPr>
          <w:p>
            <w:pPr>
              <w:jc w:val="center"/>
            </w:pPr>
            <w:r/>
            <w:r>
              <w:rPr>
                <w:b w:val="0"/>
                <w:sz w:val="19"/>
              </w:rPr>
              <w:t>20</w:t>
            </w:r>
          </w:p>
        </w:tc>
      </w:tr>
    </w:tbl>
    <w:p>
      <w:pPr>
        <w:spacing w:after="80"/>
      </w:pPr>
    </w:p>
    <w:p>
      <w:pPr>
        <w:spacing w:after="160"/>
      </w:pPr>
      <w:r>
        <w:rPr>
          <w:b/>
          <w:i w:val="0"/>
          <w:color w:val="B42318"/>
        </w:rPr>
        <w:t>Cada bloque es todo o nada: se obtienen sus 5 puntos solo si se cumplen todos sus indicadores. Notas posibles: 0, 5, 10, 15 o 20. Para aprobar hay que resolver al menos un desafío completo (bloque 2 o 3).</w:t>
      </w:r>
    </w:p>
    <w:p>
      <w:pPr>
        <w:spacing w:after="160"/>
        <w:shd w:val="clear" w:color="auto" w:fill="E8F5EC"/>
        <w:pBdr>
          <w:left w:val="single" w:sz="18" w:space="6" w:color="1A7F37"/>
        </w:pBdr>
      </w:pPr>
      <w:r>
        <w:rPr>
          <w:b/>
          <w:color w:val="1A7F37"/>
        </w:rPr>
        <w:t xml:space="preserve">Canal del curso: </w:t>
      </w:r>
      <w:r>
        <w:t xml:space="preserve">en </w:t>
      </w:r>
      <w:hyperlink r:id="rId9">
        <w:r>
          <w:rPr>
            <w:color w:val="0B5CAD"/>
            <w:u w:val="single"/>
          </w:rPr>
          <w:t>GitHub Discussions del repositorio</w:t>
        </w:r>
      </w:hyperlink>
      <w:r>
        <w:t xml:space="preserve"> pueden compartir todo: discutir las respuestas del banco de preguntas, dudas sobre la rúbrica y los desafíos, código, información, enlaces, soluciones a errores y sugerencias. Todos ven lo que se publica, así que antes de preguntar busquen si alguien ya lo hizo. Lo único que nunca se publica son secretos (contraseñas, claves de AWS, tokens).</w:t>
      </w:r>
    </w:p>
    <w:p>
      <w:pPr>
        <w:pStyle w:val="Heading1"/>
      </w:pPr>
      <w:r>
        <w:t>Requisitos para presentar (obligatorios, sin puntaje)</w:t>
      </w:r>
    </w:p>
    <w:p>
      <w:pPr>
        <w:spacing w:after="120"/>
      </w:pPr>
      <w:r>
        <w:rPr>
          <w:b/>
          <w:i w:val="0"/>
          <w:color w:val="B42318"/>
        </w:rPr>
        <w:t>Si el grupo no cumple todos estos requisitos, no puede presentar.</w:t>
      </w:r>
    </w:p>
    <w:p>
      <w:pPr>
        <w:pStyle w:val="Heading2"/>
      </w:pPr>
      <w:r>
        <w:t>Requisito 1: Grupos de 7 a 10 integrantes</w:t>
      </w:r>
    </w:p>
    <w:p>
      <w:pPr>
        <w:pStyle w:val="ListBullet"/>
        <w:spacing w:after="40"/>
      </w:pPr>
      <w:r>
        <w:t>Cada grupo tiene como mínimo 7 y como máximo 10 integrantes; con 48 alumnos se forman 5 o 6 grupos. Un grupo fuera de ese rango no puede presentar.</w:t>
      </w:r>
    </w:p>
    <w:p>
      <w:pPr>
        <w:pStyle w:val="ListBullet"/>
        <w:spacing w:after="40"/>
      </w:pPr>
      <w:r>
        <w:t>Todos los integrantes participan en el video y en la sustentación: cada uno responde por el proyecto completo.</w:t>
      </w:r>
    </w:p>
    <w:p>
      <w:pPr>
        <w:pStyle w:val="Heading2"/>
      </w:pPr>
      <w:r>
        <w:t>Requisito 2: Video del proceso completo, hasta el viernes 23 de octubre de 2026</w:t>
      </w:r>
    </w:p>
    <w:p>
      <w:pPr>
        <w:pStyle w:val="ListBullet"/>
        <w:spacing w:after="40"/>
      </w:pPr>
      <w:r>
        <w:t>Muestra toda la implementación, de principio a fin: configuración del fork, del rol OIDC y de los secretos; primer despliegue con el pipeline; AWS SDK en uso; las caídas de servidor y de zona; PgBouncer y la prueba de carga; la migración con más productos y el experimento de búsqueda; el carrito y el pago; y la evidencia en CloudWatch.</w:t>
      </w:r>
    </w:p>
    <w:p>
      <w:pPr>
        <w:pStyle w:val="ListBullet"/>
        <w:spacing w:after="40"/>
      </w:pPr>
      <w:r>
        <w:t>Duración libre, a criterio del grupo. Si falta una parte de la implementación, el video está incompleto.</w:t>
      </w:r>
    </w:p>
    <w:p>
      <w:pPr>
        <w:pStyle w:val="ListBullet"/>
        <w:spacing w:after="40"/>
      </w:pPr>
      <w:r>
        <w:t>Participan todos los integrantes: cada uno aparece y explica con su voz una parte de la implementación. Si un solo integrante no participa, el grupo completo no expone.</w:t>
      </w:r>
    </w:p>
    <w:p>
      <w:pPr>
        <w:pStyle w:val="ListBullet"/>
        <w:spacing w:after="40"/>
      </w:pPr>
      <w:r>
        <w:t>No pueden aparecer secretos (contraseñas, claves de AWS, tokens de Mercado Pago). Si aparece uno, se aplica la regla general y además hay que cambiar esa clave de inmediato.</w:t>
      </w:r>
    </w:p>
    <w:p>
      <w:pPr>
        <w:pStyle w:val="ListBullet"/>
        <w:spacing w:after="40"/>
      </w:pPr>
      <w:r>
        <w:t>Se entrega como enlace no listado (YouTube o Drive), con los nombres de los integrantes y el enlace al fork.</w:t>
      </w:r>
    </w:p>
    <w:p>
      <w:pPr>
        <w:pStyle w:val="Heading2"/>
      </w:pPr>
      <w:r>
        <w:t>Requisito 3: Presentación en clase: tiempo igual para cada grupo</w:t>
      </w:r>
    </w:p>
    <w:p>
      <w:pPr>
        <w:pStyle w:val="ListBullet"/>
        <w:spacing w:after="40"/>
      </w:pPr>
      <w:r>
        <w:t>La sesión dura 110 minutos: 10 de preparación y 100 para las presentaciones, repartidos en partes iguales entre los grupos (5 grupos: 20 minutos cada uno; 6 grupos: 16 minutos cada uno).</w:t>
      </w:r>
    </w:p>
    <w:p>
      <w:pPr>
        <w:pStyle w:val="ListBullet"/>
        <w:spacing w:after="40"/>
      </w:pPr>
      <w:r>
        <w:t>Cada grupo organiza su tiempo como prefiera, pero en él deben entrar la demostración en vivo (el cambio con push del 1a, la caída de un servidor del 1c y el pago de prueba del 3d) y la sustentación de todos los integrantes. Al terminar el tiempo, se termina la presentación.</w:t>
      </w:r>
    </w:p>
    <w:p>
      <w:pPr>
        <w:pStyle w:val="ListBullet"/>
        <w:spacing w:after="40"/>
      </w:pPr>
      <w:r>
        <w:t>Todo lo demás se evalúa con el video, que por eso debe mostrar la implementación completa. El profesor puede pedir ver cualquier evidencia en la AWS del grupo.</w:t>
      </w:r>
    </w:p>
    <w:p>
      <w:pPr>
        <w:pStyle w:val="Heading2"/>
      </w:pPr>
      <w:r>
        <w:t>Requisito 4: Llegar con la tienda ya desplegada y las pruebas hechas</w:t>
      </w:r>
    </w:p>
    <w:p>
      <w:pPr>
        <w:pStyle w:val="ListBullet"/>
        <w:spacing w:after="40"/>
      </w:pPr>
      <w:r>
        <w:t>El día de la presentación la pila de AWS ya está funcionando. No se despliega en clase: el primer despliegue tarda unos 25 minutos.</w:t>
      </w:r>
    </w:p>
    <w:p>
      <w:pPr>
        <w:pStyle w:val="ListBullet"/>
        <w:spacing w:after="40"/>
      </w:pPr>
      <w:r>
        <w:t>La prueba de carga y el experimento de búsqueda no se hacen en clase: el grupo trae sus resultados y la ejecución se ve en el video.</w:t>
      </w:r>
    </w:p>
    <w:p>
      <w:pPr>
        <w:spacing w:after="120"/>
      </w:pPr>
    </w:p>
    <w:p>
      <w:pPr>
        <w:pStyle w:val="Heading1"/>
      </w:pPr>
      <w:r>
        <w:t>Reglas generales</w:t>
      </w:r>
    </w:p>
    <w:p>
      <w:pPr>
        <w:spacing w:after="60"/>
      </w:pPr>
      <w:r>
        <w:rPr>
          <w:b/>
        </w:rPr>
        <w:t xml:space="preserve">1. </w:t>
      </w:r>
      <w:r>
        <w:t>Cada bloque es TODO O NADA: el grupo obtiene sus 5 puntos solo si cumple TODOS sus indicadores; si falla uno, obtiene 0 en ese bloque. Las notas posibles son 0, 5, 10, 15 y 20. Para aprobar hay que resolver al menos un desafío completo (bloque 2 o 3).</w:t>
      </w:r>
    </w:p>
    <w:p>
      <w:pPr>
        <w:spacing w:after="60"/>
      </w:pPr>
      <w:r>
        <w:rPr>
          <w:b/>
        </w:rPr>
        <w:t xml:space="preserve">2. </w:t>
      </w:r>
      <w:r>
        <w:t>Este trabajo es para entender cómo funciona cada parte: por eso los anexos traen guías paso a paso y scripts. Usarlos está permitido; lo que se evalúa es que el grupo los haga funcionar en su AWS, interprete los resultados y sepa explicar cada línea.</w:t>
      </w:r>
    </w:p>
    <w:p>
      <w:pPr>
        <w:spacing w:after="60"/>
      </w:pPr>
      <w:r>
        <w:rPr>
          <w:b/>
        </w:rPr>
        <w:t xml:space="preserve">3. </w:t>
      </w:r>
      <w:r>
        <w:t>Todo entra por GitHub Actions. Cada cambio (código, YAML, migraciones, PgBouncer, métricas, pago) se sube con un push al fork del grupo y el pipeline lo despliega. Lo que se haga a mano (crear recursos en la consola, copiar archivos a la EC2, aws cloudformation deploy desde la PC) no cuenta.</w:t>
      </w:r>
    </w:p>
    <w:p>
      <w:pPr>
        <w:spacing w:after="60"/>
      </w:pPr>
      <w:r>
        <w:rPr>
          <w:b/>
        </w:rPr>
        <w:t xml:space="preserve">4. </w:t>
      </w:r>
      <w:r>
        <w:t>Cero secretos expuestos. Si una contraseña, clave de AWS o token de pago aparece en GitHub, en una captura, en el video o en los logs, el indicador no se cumple.</w:t>
      </w:r>
    </w:p>
    <w:p>
      <w:pPr>
        <w:spacing w:after="60"/>
      </w:pPr>
      <w:r>
        <w:rPr>
          <w:b/>
        </w:rPr>
        <w:t xml:space="preserve">5. </w:t>
      </w:r>
      <w:r>
        <w:t>Pagos solo de prueba. Prohibido usar tarjetas reales, credenciales de producción o la cuenta personal de Mercado Pago. Si se usan, el bloque 3 vale 0 aunque funcione.</w:t>
      </w:r>
    </w:p>
    <w:p>
      <w:pPr>
        <w:spacing w:after="60"/>
      </w:pPr>
      <w:r>
        <w:rPr>
          <w:b/>
        </w:rPr>
        <w:t xml:space="preserve">6. </w:t>
      </w:r>
      <w:r>
        <w:t>Los indicadores 1a (el cambio con push), 1c y 3d se demuestran en vivo en clase; los demás, en el video. Todo se hace en la cuenta de AWS del grupo; las capturas solo sirven como respaldo.</w:t>
      </w:r>
    </w:p>
    <w:p>
      <w:pPr>
        <w:spacing w:after="60"/>
      </w:pPr>
      <w:r>
        <w:rPr>
          <w:b/>
        </w:rPr>
        <w:t xml:space="preserve">7. </w:t>
      </w:r>
      <w:r>
        <w:t>Al terminar, el grupo borra todo con el workflow destroy-aws y muestra que no quedan recursos cobrando.</w:t>
      </w:r>
    </w:p>
    <w:p>
      <w:r>
        <w:br w:type="page"/>
      </w:r>
    </w:p>
    <w:p>
      <w:pPr>
        <w:pStyle w:val="Heading1"/>
      </w:pPr>
      <w:r>
        <w:t>Bloque 1: Despliegue, AWS SDK y fallas (5 puntos, todo o nada)</w:t>
      </w:r>
    </w:p>
    <w:p>
      <w:pPr>
        <w:spacing w:after="80"/>
      </w:pPr>
      <w:r>
        <w:rPr>
          <w:b/>
          <w:color w:val="0B5CAD"/>
        </w:rPr>
        <w:t xml:space="preserve">El problema: </w:t>
      </w:r>
      <w:r>
        <w:t>Si cada actualización se sube a mano, tarde o temprano alguien se equivoca y nadie sabe qué versión está funcionando: en una empresa real el código llega a producción solo. La aplicación además habla con AWS desde su código (AWS SDK), y eso debe hacerse sin claves guardadas. Y en AWS los servidores fallan, a veces una zona de disponibilidad completa: una tienda que se cae en Cyber Monday pierde ventas.</w:t>
      </w:r>
    </w:p>
    <w:p>
      <w:pPr>
        <w:spacing w:after="160"/>
      </w:pPr>
      <w:r>
        <w:rPr>
          <w:b/>
          <w:color w:val="0B5CAD"/>
        </w:rPr>
        <w:t xml:space="preserve">Contexto: </w:t>
      </w:r>
      <w:r>
        <w:t>El repositorio ya trae el pipeline (.github/workflows/deploy-aws.yml): en cada push a main descarga el modelo de búsqueda semántica, compila la aplicación, la empaqueta en un ZIP, lo sube a S3, despliega la pila de CloudFormation y comprueba /health. La arquitectura ya está pensada para resistir: 2 EC2 en zonas distintas con Auto Scaling, un balanceador que deja de enviar clientes al servidor que no responde y Redis con 2 nodos en zonas distintas. El grupo configura el pipeline, entiende el SDK y rompe la arquitectura a propósito para demostrar que resiste.</w:t>
      </w:r>
    </w:p>
    <w:p>
      <w:pPr>
        <w:pStyle w:val="Heading2"/>
      </w:pPr>
      <w:r>
        <w:t>1a. Pipeline: primer despliegue y cambio automático (en vivo y en el video)</w:t>
      </w:r>
    </w:p>
    <w:p>
      <w:pPr>
        <w:spacing w:after="60"/>
      </w:pPr>
      <w:r>
        <w:rPr>
          <w:b/>
          <w:color w:val="0B5CAD"/>
        </w:rPr>
        <w:t xml:space="preserve">Qué hace el grupo: </w:t>
      </w:r>
      <w:r>
        <w:t>Antes de la presentación: fork; despliegue de infra/github-oidc.yaml con su usuario de GitHub y el nombre de su repositorio (rol que GitHub usa para entrar a AWS sin claves, anexo A); secretos AWS_ROLE_ARN y DB_PASSWORD en el fork; primer despliegue con el pipeline (unos 25 minutos). En vivo: un cambio visible en Views/Shared/_Layout.cshtml (por ejemplo, un banner de Cyber Monday), commit y push a main; el pipeline lo despliega solo y CloudFormation reemplaza las EC2 de a una, sin cortar la tienda.</w:t>
      </w:r>
    </w:p>
    <w:p>
      <w:pPr>
        <w:spacing w:after="60"/>
      </w:pPr>
      <w:r>
        <w:rPr>
          <w:b/>
          <w:color w:val="0B5CAD"/>
        </w:rPr>
        <w:t xml:space="preserve">Cómo lo demuestra: </w:t>
      </w:r>
      <w:r>
        <w:t>Historial de Actions con el primer despliegue en verde; la pila en CREATE_COMPLETE o UPDATE_COMPLETE; la tienda por HTTPS (output ApplicationHTTPS) con «Servido por» alternando entre las dos EC2, una búsqueda por significado (por ejemplo «algo para escuchar música») y una compra. Luego el commit del cambio, la ejecución de Actions con ese mismo código (SHA) y la tienda con el cambio.</w:t>
      </w:r>
    </w:p>
    <w:p>
      <w:pPr>
        <w:spacing w:after="60"/>
      </w:pPr>
      <w:r>
        <w:rPr>
          <w:b/>
          <w:color w:val="0B5CAD"/>
        </w:rPr>
        <w:t xml:space="preserve">Qué debe poder explicar: </w:t>
      </w:r>
      <w:r>
        <w:t>Por qué OIDC es más seguro que guardar una Access Key en GitHub.</w:t>
      </w:r>
    </w:p>
    <w:p>
      <w:pPr>
        <w:spacing w:after="200"/>
        <w:ind w:left="170"/>
        <w:shd w:val="clear" w:color="auto" w:fill="E8F5EC"/>
        <w:pBdr>
          <w:left w:val="single" w:sz="18" w:space="6" w:color="1A7F37"/>
        </w:pBdr>
      </w:pPr>
      <w:r>
        <w:rPr>
          <w:b/>
          <w:color w:val="1A7F37"/>
        </w:rPr>
        <w:t xml:space="preserve">Cumple si: </w:t>
      </w:r>
      <w:r>
        <w:t>Tienda por HTTPS con balanceo, búsqueda y compra, desplegada por el pipeline, y el cambio en vivo llega solo, con commit, ejecución y tienda coincidentes.</w:t>
      </w:r>
    </w:p>
    <w:p>
      <w:pPr>
        <w:pStyle w:val="Heading2"/>
      </w:pPr>
      <w:r>
        <w:t>1b. AWS SDK configurado y en uso, sin claves (en el video)</w:t>
      </w:r>
    </w:p>
    <w:p>
      <w:pPr>
        <w:spacing w:after="60"/>
      </w:pPr>
      <w:r>
        <w:rPr>
          <w:b/>
          <w:color w:val="0B5CAD"/>
        </w:rPr>
        <w:t xml:space="preserve">Qué hace el grupo: </w:t>
      </w:r>
      <w:r>
        <w:t>En su PC instala la AWS CLI, configura su perfil (aws configure) y comprueba su identidad (aws sts get-caller-identity). Ubica dónde se usa el SDK: Program.cs registra los clientes de AWS (AddAWSService); Services/BusinessMetrics.cs envía OrdersCreated y OrderAmount a CloudWatch en cada venta (PutMetricData); Services/DatabaseSecret.cs lee la contraseña de la base desde Secrets Manager al arrancar (GetSecretValue). El SDK busca credenciales solo: en la PC usa el perfil; en la EC2 usa el rol IAM de la instancia, con credenciales temporales.</w:t>
      </w:r>
    </w:p>
    <w:p>
      <w:pPr>
        <w:spacing w:after="60"/>
      </w:pPr>
      <w:r>
        <w:rPr>
          <w:b/>
          <w:color w:val="0B5CAD"/>
        </w:rPr>
        <w:t xml:space="preserve">Cómo lo demuestra: </w:t>
      </w:r>
      <w:r>
        <w:t>Una compra y la venta en CloudWatch → Metrics → URPOnline. En la EC2 (Session Manager): no existe .aws ni variables AWS_ACCESS_KEY_ID, y aun así la app envía métricas y lee el secreto. En IAM, el rol de la EC2 con PutMetricData y GetSecretValue solo sobre ese secreto.</w:t>
      </w:r>
    </w:p>
    <w:p>
      <w:pPr>
        <w:spacing w:after="60"/>
      </w:pPr>
      <w:r>
        <w:rPr>
          <w:b/>
          <w:color w:val="0B5CAD"/>
        </w:rPr>
        <w:t xml:space="preserve">Qué debe poder explicar: </w:t>
      </w:r>
      <w:r>
        <w:t>Por qué en la EC2 no hacen falta claves; mínimo privilegio; qué pasaría si se subiera una Access Key a GitHub.</w:t>
      </w:r>
    </w:p>
    <w:p>
      <w:pPr>
        <w:spacing w:after="200"/>
        <w:ind w:left="170"/>
        <w:shd w:val="clear" w:color="auto" w:fill="E8F5EC"/>
        <w:pBdr>
          <w:left w:val="single" w:sz="18" w:space="6" w:color="1A7F37"/>
        </w:pBdr>
      </w:pPr>
      <w:r>
        <w:rPr>
          <w:b/>
          <w:color w:val="1A7F37"/>
        </w:rPr>
        <w:t xml:space="preserve">Cumple si: </w:t>
      </w:r>
      <w:r>
        <w:t>Métricas llegando desde AWS, EC2 sin claves y el rol IAM explicado; ninguna Access Key escrita en código, configuración o servidor.</w:t>
      </w:r>
    </w:p>
    <w:p>
      <w:pPr>
        <w:pStyle w:val="Heading2"/>
      </w:pPr>
      <w:r>
        <w:t>1c. Cae un servidor (en vivo y en el video)</w:t>
      </w:r>
    </w:p>
    <w:p>
      <w:pPr>
        <w:spacing w:after="60"/>
      </w:pPr>
      <w:r>
        <w:rPr>
          <w:b/>
          <w:color w:val="0B5CAD"/>
        </w:rPr>
        <w:t xml:space="preserve">Qué hace el grupo: </w:t>
      </w:r>
      <w:r>
        <w:t>Agrega productos al carrito, termina (destruye) una de las dos EC2 (anexo B, paso 1) y recarga la tienda varias veces.</w:t>
      </w:r>
    </w:p>
    <w:p>
      <w:pPr>
        <w:spacing w:after="60"/>
      </w:pPr>
      <w:r>
        <w:rPr>
          <w:b/>
          <w:color w:val="0B5CAD"/>
        </w:rPr>
        <w:t xml:space="preserve">Cómo lo demuestra: </w:t>
      </w:r>
      <w:r>
        <w:t>La tienda sigue respondiendo y «Servido por» muestra solo la sobreviviente; el carrito sigue intacto; en EC2 → Auto Scaling Groups → Activity se ve el servidor terminado y el nuevo.</w:t>
      </w:r>
    </w:p>
    <w:p>
      <w:pPr>
        <w:spacing w:after="60"/>
      </w:pPr>
      <w:r>
        <w:rPr>
          <w:b/>
          <w:color w:val="0B5CAD"/>
        </w:rPr>
        <w:t xml:space="preserve">Qué debe poder explicar: </w:t>
      </w:r>
      <w:r>
        <w:t>Por qué el carrito no se perdió: está en Redis, no en la memoria del servidor.</w:t>
      </w:r>
    </w:p>
    <w:p>
      <w:pPr>
        <w:spacing w:after="200"/>
        <w:ind w:left="170"/>
        <w:shd w:val="clear" w:color="auto" w:fill="E8F5EC"/>
        <w:pBdr>
          <w:left w:val="single" w:sz="18" w:space="6" w:color="1A7F37"/>
        </w:pBdr>
      </w:pPr>
      <w:r>
        <w:rPr>
          <w:b/>
          <w:color w:val="1A7F37"/>
        </w:rPr>
        <w:t xml:space="preserve">Cumple si: </w:t>
      </w:r>
      <w:r>
        <w:t>La tienda sigue, el carrito se mantiene y se ve el reemplazo automático.</w:t>
      </w:r>
    </w:p>
    <w:p>
      <w:pPr>
        <w:pStyle w:val="Heading2"/>
      </w:pPr>
      <w:r>
        <w:t>1d. Cae una zona completa (en el video)</w:t>
      </w:r>
    </w:p>
    <w:p>
      <w:pPr>
        <w:spacing w:after="60"/>
      </w:pPr>
      <w:r>
        <w:rPr>
          <w:b/>
          <w:color w:val="0B5CAD"/>
        </w:rPr>
        <w:t xml:space="preserve">Qué hace el grupo: </w:t>
      </w:r>
      <w:r>
        <w:t>Simula la caída de la zona A: le pone a la subred de la aplicación de esa zona (10.0.11.0/24) una NACL nueva, que bloquea todo, y fuerza el cambio de Redis a su copia (anexo B, paso 2). Mientras tanto sigue comprando.</w:t>
      </w:r>
    </w:p>
    <w:p>
      <w:pPr>
        <w:spacing w:after="60"/>
      </w:pPr>
      <w:r>
        <w:rPr>
          <w:b/>
          <w:color w:val="0B5CAD"/>
        </w:rPr>
        <w:t xml:space="preserve">Cómo lo demuestra: </w:t>
      </w:r>
      <w:r>
        <w:t>El Target Group con la zona A en unhealthy y la zona B en healthy; una compra hecha durante la caída; en ElastiCache, el nodo principal cambiado.</w:t>
      </w:r>
    </w:p>
    <w:p>
      <w:pPr>
        <w:spacing w:after="60"/>
      </w:pPr>
      <w:r>
        <w:rPr>
          <w:b/>
          <w:color w:val="0B5CAD"/>
        </w:rPr>
        <w:t xml:space="preserve">Qué debe poder explicar: </w:t>
      </w:r>
      <w:r>
        <w:t>La diferencia entre caer un servidor y caer una zona, y por qué la tienda resiste las dos.</w:t>
      </w:r>
    </w:p>
    <w:p>
      <w:pPr>
        <w:spacing w:after="200"/>
        <w:ind w:left="170"/>
        <w:shd w:val="clear" w:color="auto" w:fill="E8F5EC"/>
        <w:pBdr>
          <w:left w:val="single" w:sz="18" w:space="6" w:color="1A7F37"/>
        </w:pBdr>
      </w:pPr>
      <w:r>
        <w:rPr>
          <w:b/>
          <w:color w:val="1A7F37"/>
        </w:rPr>
        <w:t xml:space="preserve">Cumple si: </w:t>
      </w:r>
      <w:r>
        <w:t>Zona A aislada, tienda vendiendo desde la zona B y failover de Redis hecho.</w:t>
      </w:r>
    </w:p>
    <w:p>
      <w:pPr>
        <w:pStyle w:val="Heading2"/>
      </w:pPr>
      <w:r>
        <w:t>1e. Evidencia de la caída y restauración (en el video)</w:t>
      </w:r>
    </w:p>
    <w:p>
      <w:pPr>
        <w:spacing w:after="60"/>
      </w:pPr>
      <w:r>
        <w:rPr>
          <w:b/>
          <w:color w:val="0B5CAD"/>
        </w:rPr>
        <w:t xml:space="preserve">Qué hace el grupo: </w:t>
      </w:r>
      <w:r>
        <w:t>Reúne la evidencia de la caída de zona (anexo B, paso 3) y la restaura (paso 4).</w:t>
      </w:r>
    </w:p>
    <w:p>
      <w:pPr>
        <w:spacing w:after="60"/>
      </w:pPr>
      <w:r>
        <w:rPr>
          <w:b/>
          <w:color w:val="0B5CAD"/>
        </w:rPr>
        <w:t xml:space="preserve">Cómo lo demuestra: </w:t>
      </w:r>
      <w:r>
        <w:t>1) Logs Insights: las peticiones por minuto y por servidor muestran que todas pasan a la zona B. 2) La alarma «EC2 no saludables» pasa a ALARM y vuelve a OK. 3) Reachability Analyzer (revisa la configuración sin enviar tráfico): balanceador → EC2 de la zona A no alcanzable, señalando la NACL; balanceador → EC2 de la zona B alcanzable. Tras restaurar, la zona A vuelve a ser alcanzable.</w:t>
      </w:r>
    </w:p>
    <w:p>
      <w:pPr>
        <w:spacing w:after="200"/>
        <w:ind w:left="170"/>
        <w:shd w:val="clear" w:color="auto" w:fill="E8F5EC"/>
        <w:pBdr>
          <w:left w:val="single" w:sz="18" w:space="6" w:color="1A7F37"/>
        </w:pBdr>
      </w:pPr>
      <w:r>
        <w:rPr>
          <w:b/>
          <w:color w:val="1A7F37"/>
        </w:rPr>
        <w:t xml:space="preserve">Cumple si: </w:t>
      </w:r>
      <w:r>
        <w:t>Las tres evidencias y la restauración.</w:t>
      </w:r>
    </w:p>
    <w:p>
      <w:pPr>
        <w:keepNext/>
        <w:spacing w:after="40"/>
      </w:pPr>
      <w:r>
        <w:rPr>
          <w:b/>
          <w:i w:val="0"/>
          <w:color w:val="0B5CAD"/>
        </w:rPr>
        <w:t>Dónde cambiar en GitHub (en el fork del grupo)</w:t>
      </w:r>
    </w:p>
    <w:tbl>
      <w:tblPr>
        <w:tblStyle w:val="TableGrid"/>
        <w:tblW w:type="auto" w:w="0"/>
        <w:jc w:val="center"/>
        <w:tblLook w:firstColumn="1" w:firstRow="1" w:lastColumn="0" w:lastRow="0" w:noHBand="0" w:noVBand="1" w:val="04A0"/>
      </w:tblPr>
      <w:tblGrid>
        <w:gridCol w:w="4819"/>
        <w:gridCol w:w="4819"/>
      </w:tblGrid>
      <w:tr>
        <w:tc>
          <w:tcPr>
            <w:tcW w:type="dxa" w:w="3515"/>
            <w:shd w:val="clear" w:color="auto" w:fill="0B5CAD"/>
          </w:tcPr>
          <w:p>
            <w:r/>
            <w:r>
              <w:rPr>
                <w:b/>
                <w:color w:val="FFFFFF"/>
                <w:sz w:val="19"/>
              </w:rPr>
              <w:t>Archivo</w:t>
            </w:r>
          </w:p>
        </w:tc>
        <w:tc>
          <w:tcPr>
            <w:tcW w:type="dxa" w:w="6123"/>
            <w:shd w:val="clear" w:color="auto" w:fill="0B5CAD"/>
          </w:tcPr>
          <w:p>
            <w:r/>
            <w:r>
              <w:rPr>
                <w:b/>
                <w:color w:val="FFFFFF"/>
                <w:sz w:val="19"/>
              </w:rPr>
              <w:t>Qué cambiar o mirar</w:t>
            </w:r>
          </w:p>
        </w:tc>
      </w:tr>
      <w:tr>
        <w:tc>
          <w:tcPr>
            <w:tcW w:type="dxa" w:w="3515"/>
          </w:tcPr>
          <w:p>
            <w:r/>
            <w:hyperlink r:id="rId10">
              <w:r>
                <w:rPr>
                  <w:color w:val="0B5CAD"/>
                  <w:u w:val="single"/>
                  <w:sz w:val="18"/>
                </w:rPr>
                <w:t>infra/github-oidc.yaml</w:t>
              </w:r>
            </w:hyperlink>
          </w:p>
        </w:tc>
        <w:tc>
          <w:tcPr>
            <w:tcW w:type="dxa" w:w="6123"/>
          </w:tcPr>
          <w:p>
            <w:r/>
            <w:r>
              <w:rPr>
                <w:b w:val="0"/>
                <w:sz w:val="19"/>
              </w:rPr>
              <w:t>Rol que GitHub usa para entrar a AWS sin claves (se despliega una vez).</w:t>
            </w:r>
          </w:p>
        </w:tc>
      </w:tr>
      <w:tr>
        <w:tc>
          <w:tcPr>
            <w:tcW w:type="dxa" w:w="3515"/>
          </w:tcPr>
          <w:p>
            <w:r/>
            <w:hyperlink r:id="rId11">
              <w:r>
                <w:rPr>
                  <w:color w:val="0B5CAD"/>
                  <w:u w:val="single"/>
                  <w:sz w:val="18"/>
                </w:rPr>
                <w:t>.github/workflows/deploy-aws.yml</w:t>
              </w:r>
            </w:hyperlink>
          </w:p>
        </w:tc>
        <w:tc>
          <w:tcPr>
            <w:tcW w:type="dxa" w:w="6123"/>
          </w:tcPr>
          <w:p>
            <w:r/>
            <w:r>
              <w:rPr>
                <w:b w:val="0"/>
                <w:sz w:val="19"/>
              </w:rPr>
              <w:t>Pipeline de despliegue.</w:t>
            </w:r>
          </w:p>
        </w:tc>
      </w:tr>
      <w:tr>
        <w:tc>
          <w:tcPr>
            <w:tcW w:type="dxa" w:w="3515"/>
          </w:tcPr>
          <w:p>
            <w:r/>
            <w:hyperlink r:id="rId12">
              <w:r>
                <w:rPr>
                  <w:color w:val="0B5CAD"/>
                  <w:u w:val="single"/>
                  <w:sz w:val="18"/>
                </w:rPr>
                <w:t>Views/Shared/_Layout.cshtml</w:t>
              </w:r>
            </w:hyperlink>
          </w:p>
        </w:tc>
        <w:tc>
          <w:tcPr>
            <w:tcW w:type="dxa" w:w="6123"/>
          </w:tcPr>
          <w:p>
            <w:r/>
            <w:r>
              <w:rPr>
                <w:b w:val="0"/>
                <w:sz w:val="19"/>
              </w:rPr>
              <w:t>Cambio visible del indicador 1a.</w:t>
            </w:r>
          </w:p>
        </w:tc>
      </w:tr>
      <w:tr>
        <w:tc>
          <w:tcPr>
            <w:tcW w:type="dxa" w:w="3515"/>
          </w:tcPr>
          <w:p>
            <w:r/>
            <w:hyperlink r:id="rId13">
              <w:r>
                <w:rPr>
                  <w:color w:val="0B5CAD"/>
                  <w:u w:val="single"/>
                  <w:sz w:val="18"/>
                </w:rPr>
                <w:t>Services/BusinessMetrics.cs</w:t>
              </w:r>
            </w:hyperlink>
          </w:p>
        </w:tc>
        <w:tc>
          <w:tcPr>
            <w:tcW w:type="dxa" w:w="6123"/>
          </w:tcPr>
          <w:p>
            <w:r/>
            <w:r>
              <w:rPr>
                <w:b w:val="0"/>
                <w:sz w:val="19"/>
              </w:rPr>
              <w:t>SDK con CloudWatch.</w:t>
            </w:r>
          </w:p>
        </w:tc>
      </w:tr>
      <w:tr>
        <w:tc>
          <w:tcPr>
            <w:tcW w:type="dxa" w:w="3515"/>
          </w:tcPr>
          <w:p>
            <w:r/>
            <w:hyperlink r:id="rId14">
              <w:r>
                <w:rPr>
                  <w:color w:val="0B5CAD"/>
                  <w:u w:val="single"/>
                  <w:sz w:val="18"/>
                </w:rPr>
                <w:t>Services/DatabaseSecret.cs</w:t>
              </w:r>
            </w:hyperlink>
          </w:p>
        </w:tc>
        <w:tc>
          <w:tcPr>
            <w:tcW w:type="dxa" w:w="6123"/>
          </w:tcPr>
          <w:p>
            <w:r/>
            <w:r>
              <w:rPr>
                <w:b w:val="0"/>
                <w:sz w:val="19"/>
              </w:rPr>
              <w:t>SDK con Secrets Manager.</w:t>
            </w:r>
          </w:p>
        </w:tc>
      </w:tr>
      <w:tr>
        <w:tc>
          <w:tcPr>
            <w:tcW w:type="dxa" w:w="3515"/>
          </w:tcPr>
          <w:p>
            <w:r/>
            <w:hyperlink r:id="rId15">
              <w:r>
                <w:rPr>
                  <w:color w:val="0B5CAD"/>
                  <w:u w:val="single"/>
                  <w:sz w:val="18"/>
                </w:rPr>
                <w:t>scripts/analizar-red.sh</w:t>
              </w:r>
            </w:hyperlink>
          </w:p>
        </w:tc>
        <w:tc>
          <w:tcPr>
            <w:tcW w:type="dxa" w:w="6123"/>
          </w:tcPr>
          <w:p>
            <w:r/>
            <w:r>
              <w:rPr>
                <w:b w:val="0"/>
                <w:sz w:val="19"/>
              </w:rPr>
              <w:t>Análisis base de Reachability Analyzer.</w:t>
            </w:r>
          </w:p>
        </w:tc>
      </w:tr>
    </w:tbl>
    <w:p>
      <w:r>
        <w:br w:type="page"/>
      </w:r>
    </w:p>
    <w:p>
      <w:pPr>
        <w:pStyle w:val="Heading1"/>
      </w:pPr>
      <w:r>
        <w:t>Bloque 2: PostgreSQL: carga y búsqueda por vectores (5 puntos, todo o nada)</w:t>
      </w:r>
    </w:p>
    <w:p>
      <w:pPr>
        <w:spacing w:after="80"/>
      </w:pPr>
      <w:r>
        <w:rPr>
          <w:b/>
          <w:color w:val="0B5CAD"/>
        </w:rPr>
        <w:t xml:space="preserve">El problema: </w:t>
      </w:r>
      <w:r>
        <w:t>Dos problemas de la base de datos. Primero, en Cyber Monday entran cientos de clientes a la vez; cada petición usa una conexión y la base del laboratorio (db.t3.micro) soporta unas 80 simultáneas, mientras cada servidor .NET puede abrir hasta 100: con 2 servidores y mucha carga, la base se queda sin conexiones y la tienda da errores aunque los servidores tengan CPU de sobra. Segundo, la tienda busca por significado con vectores (pgvector), pero hoy solo tiene 6 productos: así no se puede ver ni medir cómo funciona.</w:t>
      </w:r>
    </w:p>
    <w:p>
      <w:pPr>
        <w:spacing w:after="160"/>
      </w:pPr>
      <w:r>
        <w:rPr>
          <w:b/>
          <w:color w:val="0B5CAD"/>
        </w:rPr>
        <w:t xml:space="preserve">Contexto: </w:t>
      </w:r>
      <w:r>
        <w:t>PgBouncer es un administrador de conexiones entre la app y la base: como la fila de un banco, recibe a 200 clientes y los atiende con 20 conexiones reales (app → PgBouncer 6432 → RDS 5432). La búsqueda por significado convierte el texto de cada producto (nombre + categoría + descripción) en un vector de 384 números con un modelo que corre en la propia EC2; textos parecidos dan vectores cercanos. Los vectores se guardan en RDS (tabla ProductEmbeddings) y PostgreSQL busca los más cercanos con el índice HNSW.</w:t>
      </w:r>
    </w:p>
    <w:p>
      <w:pPr>
        <w:pStyle w:val="Heading2"/>
      </w:pPr>
      <w:r>
        <w:t>2a. PgBouncer instalado por el pipeline (en el video)</w:t>
      </w:r>
    </w:p>
    <w:p>
      <w:pPr>
        <w:spacing w:after="60"/>
      </w:pPr>
      <w:r>
        <w:rPr>
          <w:b/>
          <w:color w:val="0B5CAD"/>
        </w:rPr>
        <w:t xml:space="preserve">Qué hace el grupo: </w:t>
      </w:r>
      <w:r>
        <w:t>En infra/urponline-oneclick.yaml, en el arranque de las EC2 (UserData), instala PgBouncer en cada servidor, escuchando solo en 127.0.0.1:6432, en modo transaction y con pocas conexiones reales (base: scripts/pgbouncer.ini.example). Cambia la conexión de la app del 5432 al 6432. Las migraciones siguen yendo directo al 5432 (usan pg_advisory_lock, que necesita una conexión fija): se cambia en Program.cs. La contraseña sigue en Secrets Manager.</w:t>
      </w:r>
    </w:p>
    <w:p>
      <w:pPr>
        <w:spacing w:after="60"/>
      </w:pPr>
      <w:r>
        <w:rPr>
          <w:b/>
          <w:color w:val="0B5CAD"/>
        </w:rPr>
        <w:t xml:space="preserve">Cómo lo demuestra: </w:t>
      </w:r>
      <w:r>
        <w:t>El diff en GitHub, el pipeline en verde y, por Session Manager, systemctl status pgbouncer funcionando y la conexión de la app en el 6432 (sin la contraseña).</w:t>
      </w:r>
    </w:p>
    <w:p>
      <w:pPr>
        <w:spacing w:after="200"/>
        <w:ind w:left="170"/>
        <w:shd w:val="clear" w:color="auto" w:fill="E8F5EC"/>
        <w:pBdr>
          <w:left w:val="single" w:sz="18" w:space="6" w:color="1A7F37"/>
        </w:pBdr>
      </w:pPr>
      <w:r>
        <w:rPr>
          <w:b/>
          <w:color w:val="1A7F37"/>
        </w:rPr>
        <w:t xml:space="preserve">Cumple si: </w:t>
      </w:r>
      <w:r>
        <w:t>PgBouncer en ambas EC2, desplegado por el pipeline, la app usándolo y las migraciones directas.</w:t>
      </w:r>
    </w:p>
    <w:p>
      <w:pPr>
        <w:pStyle w:val="Heading2"/>
      </w:pPr>
      <w:r>
        <w:t>2b. Prueba de carga con k6 (en el video)</w:t>
      </w:r>
    </w:p>
    <w:p>
      <w:pPr>
        <w:spacing w:after="60"/>
      </w:pPr>
      <w:r>
        <w:rPr>
          <w:b/>
          <w:color w:val="0B5CAD"/>
        </w:rPr>
        <w:t xml:space="preserve">Qué hace el grupo: </w:t>
      </w:r>
      <w:r>
        <w:t>Con el script del anexo C (pruebas/carga.js, en el repositorio) ejecuta desde CloudShell dos pruebas iguales de 5 minutos: primero sin PgBouncer (antes del 2a) y después con PgBouncer. Anota la hora de cada una. No se hace en clase: los resultados se traen y la ejecución se ve en el video.</w:t>
      </w:r>
    </w:p>
    <w:p>
      <w:pPr>
        <w:spacing w:after="60"/>
      </w:pPr>
      <w:r>
        <w:rPr>
          <w:b/>
          <w:color w:val="0B5CAD"/>
        </w:rPr>
        <w:t xml:space="preserve">Cómo lo demuestra: </w:t>
      </w:r>
      <w:r>
        <w:t>El script en GitHub y el resumen de k6 de cada prueba: peticiones por segundo, porcentaje de errores y p95.</w:t>
      </w:r>
    </w:p>
    <w:p>
      <w:pPr>
        <w:spacing w:after="200"/>
        <w:ind w:left="170"/>
        <w:shd w:val="clear" w:color="auto" w:fill="E8F5EC"/>
        <w:pBdr>
          <w:left w:val="single" w:sz="18" w:space="6" w:color="1A7F37"/>
        </w:pBdr>
      </w:pPr>
      <w:r>
        <w:rPr>
          <w:b/>
          <w:color w:val="1A7F37"/>
        </w:rPr>
        <w:t xml:space="preserve">Cumple si: </w:t>
      </w:r>
      <w:r>
        <w:t>Script en el repositorio y dos pruebas comparables, sin y con PgBouncer.</w:t>
      </w:r>
    </w:p>
    <w:p>
      <w:pPr>
        <w:pStyle w:val="Heading2"/>
      </w:pPr>
      <w:r>
        <w:t>2c. Evidencia en CloudWatch e interpretación (en el video)</w:t>
      </w:r>
    </w:p>
    <w:p>
      <w:pPr>
        <w:spacing w:after="60"/>
      </w:pPr>
      <w:r>
        <w:rPr>
          <w:b/>
          <w:color w:val="0B5CAD"/>
        </w:rPr>
        <w:t xml:space="preserve">Qué hace el grupo: </w:t>
      </w:r>
      <w:r>
        <w:t>Publica las métricas de PgBouncer (un script en cada EC2 consulta SHOW POOLS cada minuto y las envía a CloudWatch) y compara las dos pruebas en el dashboard (anexo C, pasos 4 a 7).</w:t>
      </w:r>
    </w:p>
    <w:p>
      <w:pPr>
        <w:spacing w:after="60"/>
      </w:pPr>
      <w:r>
        <w:rPr>
          <w:b/>
          <w:color w:val="0B5CAD"/>
        </w:rPr>
        <w:t xml:space="preserve">Cómo lo demuestra: </w:t>
      </w:r>
      <w:r>
        <w:t>DatabaseConnections de RDS, errores 5xx y p95/p99 del ALB, CPU de las EC2, métricas de PgBouncer (clientes, conexiones reales, clientes esperando), una alarma disparada durante la carga y la tabla comparativa.</w:t>
      </w:r>
    </w:p>
    <w:p>
      <w:pPr>
        <w:spacing w:after="60"/>
      </w:pPr>
      <w:r>
        <w:rPr>
          <w:b/>
          <w:color w:val="0B5CAD"/>
        </w:rPr>
        <w:t xml:space="preserve">Qué debe poder explicar: </w:t>
      </w:r>
      <w:r>
        <w:t>La interpretación obligatoria: dónde estaba el cuello de botella y con qué métrica se prueba; qué cambió con PgBouncer y por qué; qué se ganó y qué se pagó; cuántos usuarios soporta la tienda y qué cambiarían para soportar el doble.</w:t>
      </w:r>
    </w:p>
    <w:p>
      <w:pPr>
        <w:spacing w:after="200"/>
        <w:ind w:left="170"/>
        <w:shd w:val="clear" w:color="auto" w:fill="E8F5EC"/>
        <w:pBdr>
          <w:left w:val="single" w:sz="18" w:space="6" w:color="1A7F37"/>
        </w:pBdr>
      </w:pPr>
      <w:r>
        <w:rPr>
          <w:b/>
          <w:color w:val="1A7F37"/>
        </w:rPr>
        <w:t xml:space="preserve">Cumple si: </w:t>
      </w:r>
      <w:r>
        <w:t>Comparación completa, métricas de PgBouncer publicadas, alarma disparada e interpretación sustentada con los datos.</w:t>
      </w:r>
    </w:p>
    <w:p>
      <w:pPr>
        <w:pStyle w:val="Heading2"/>
      </w:pPr>
      <w:r>
        <w:t>2d. Más productos por migración y vectores verificados en RDS (en el video)</w:t>
      </w:r>
    </w:p>
    <w:p>
      <w:pPr>
        <w:spacing w:after="60"/>
      </w:pPr>
      <w:r>
        <w:rPr>
          <w:b/>
          <w:color w:val="0B5CAD"/>
        </w:rPr>
        <w:t xml:space="preserve">Qué hace el grupo: </w:t>
      </w:r>
      <w:r>
        <w:t>Crea la migración MasProductos con al menos 30 productos nuevos de por lo menos 5 categorías, con descripciones de una o dos frases que expliquen para qué sirve cada producto (anexo D). La despliega por el pipeline: al arrancar, la app aplica la migración y el indexador calcula los vectores. Luego consulta los vectores en RDS.</w:t>
      </w:r>
    </w:p>
    <w:p>
      <w:pPr>
        <w:spacing w:after="60"/>
      </w:pPr>
      <w:r>
        <w:rPr>
          <w:b/>
          <w:color w:val="0B5CAD"/>
        </w:rPr>
        <w:t xml:space="preserve">Cómo lo demuestra: </w:t>
      </w:r>
      <w:r>
        <w:t>La migración en GitHub; en la tienda, los productos nuevos; en RDS (psql desde la EC2), el conteo de ProductEmbeddings igual al de productos y la consulta de los 5 productos más parecidos a uno dado, con su similitud.</w:t>
      </w:r>
    </w:p>
    <w:p>
      <w:pPr>
        <w:spacing w:after="60"/>
      </w:pPr>
      <w:r>
        <w:rPr>
          <w:b/>
          <w:color w:val="0B5CAD"/>
        </w:rPr>
        <w:t xml:space="preserve">Qué debe poder explicar: </w:t>
      </w:r>
      <w:r>
        <w:t>Qué representan los 384 números y por qué la calidad de la descripción afecta la búsqueda.</w:t>
      </w:r>
    </w:p>
    <w:p>
      <w:pPr>
        <w:spacing w:after="200"/>
        <w:ind w:left="170"/>
        <w:shd w:val="clear" w:color="auto" w:fill="E8F5EC"/>
        <w:pBdr>
          <w:left w:val="single" w:sz="18" w:space="6" w:color="1A7F37"/>
        </w:pBdr>
      </w:pPr>
      <w:r>
        <w:rPr>
          <w:b/>
          <w:color w:val="1A7F37"/>
        </w:rPr>
        <w:t xml:space="preserve">Cumple si: </w:t>
      </w:r>
      <w:r>
        <w:t>Al menos 30 productos nuevos desplegados por el pipeline, todos con vector, y la consulta de similitud ejecutada y explicada.</w:t>
      </w:r>
    </w:p>
    <w:p>
      <w:pPr>
        <w:pStyle w:val="Heading2"/>
      </w:pPr>
      <w:r>
        <w:t>2e. Experimento de búsqueda e interpretación (en el video)</w:t>
      </w:r>
    </w:p>
    <w:p>
      <w:pPr>
        <w:spacing w:after="60"/>
      </w:pPr>
      <w:r>
        <w:rPr>
          <w:b/>
          <w:color w:val="0B5CAD"/>
        </w:rPr>
        <w:t xml:space="preserve">Qué hace el grupo: </w:t>
      </w:r>
      <w:r>
        <w:t>Elige 10 búsquedas que no coincidan exactamente con ningún nombre, las prueba con el umbral 0,3 (Embeddings:MinSimilarity en appsettings.json), lo cambia a 0,6 por el pipeline y repite las mismas búsquedas (anexo D, paso 4).</w:t>
      </w:r>
    </w:p>
    <w:p>
      <w:pPr>
        <w:spacing w:after="60"/>
      </w:pPr>
      <w:r>
        <w:rPr>
          <w:b/>
          <w:color w:val="0B5CAD"/>
        </w:rPr>
        <w:t xml:space="preserve">Cómo lo demuestra: </w:t>
      </w:r>
      <w:r>
        <w:t>La tabla de las 10 búsquedas con los relacionados de cada umbral y cuántos tienen sentido.</w:t>
      </w:r>
    </w:p>
    <w:p>
      <w:pPr>
        <w:spacing w:after="60"/>
      </w:pPr>
      <w:r>
        <w:rPr>
          <w:b/>
          <w:color w:val="0B5CAD"/>
        </w:rPr>
        <w:t xml:space="preserve">Qué debe poder explicar: </w:t>
      </w:r>
      <w:r>
        <w:t>La interpretación obligatoria: qué umbral funciona mejor para su tienda y por qué, y qué pasa con las búsquedas que no se parecen a ningún producto.</w:t>
      </w:r>
    </w:p>
    <w:p>
      <w:pPr>
        <w:spacing w:after="200"/>
        <w:ind w:left="170"/>
        <w:shd w:val="clear" w:color="auto" w:fill="E8F5EC"/>
        <w:pBdr>
          <w:left w:val="single" w:sz="18" w:space="6" w:color="1A7F37"/>
        </w:pBdr>
      </w:pPr>
      <w:r>
        <w:rPr>
          <w:b/>
          <w:color w:val="1A7F37"/>
        </w:rPr>
        <w:t xml:space="preserve">Cumple si: </w:t>
      </w:r>
      <w:r>
        <w:t>Tabla completa con los dos umbrales, cambio hecho por el pipeline e interpretación sustentada.</w:t>
      </w:r>
    </w:p>
    <w:p>
      <w:pPr>
        <w:keepNext/>
        <w:spacing w:after="40"/>
      </w:pPr>
      <w:r>
        <w:rPr>
          <w:b/>
          <w:i w:val="0"/>
          <w:color w:val="0B5CAD"/>
        </w:rPr>
        <w:t>Dónde cambiar en GitHub (en el fork del grupo)</w:t>
      </w:r>
    </w:p>
    <w:tbl>
      <w:tblPr>
        <w:tblStyle w:val="TableGrid"/>
        <w:tblW w:type="auto" w:w="0"/>
        <w:jc w:val="center"/>
        <w:tblLook w:firstColumn="1" w:firstRow="1" w:lastColumn="0" w:lastRow="0" w:noHBand="0" w:noVBand="1" w:val="04A0"/>
      </w:tblPr>
      <w:tblGrid>
        <w:gridCol w:w="4819"/>
        <w:gridCol w:w="4819"/>
      </w:tblGrid>
      <w:tr>
        <w:tc>
          <w:tcPr>
            <w:tcW w:type="dxa" w:w="3515"/>
            <w:shd w:val="clear" w:color="auto" w:fill="0B5CAD"/>
          </w:tcPr>
          <w:p>
            <w:r/>
            <w:r>
              <w:rPr>
                <w:b/>
                <w:color w:val="FFFFFF"/>
                <w:sz w:val="19"/>
              </w:rPr>
              <w:t>Archivo</w:t>
            </w:r>
          </w:p>
        </w:tc>
        <w:tc>
          <w:tcPr>
            <w:tcW w:type="dxa" w:w="6123"/>
            <w:shd w:val="clear" w:color="auto" w:fill="0B5CAD"/>
          </w:tcPr>
          <w:p>
            <w:r/>
            <w:r>
              <w:rPr>
                <w:b/>
                <w:color w:val="FFFFFF"/>
                <w:sz w:val="19"/>
              </w:rPr>
              <w:t>Qué cambiar o mirar</w:t>
            </w:r>
          </w:p>
        </w:tc>
      </w:tr>
      <w:tr>
        <w:tc>
          <w:tcPr>
            <w:tcW w:type="dxa" w:w="3515"/>
          </w:tcPr>
          <w:p>
            <w:r/>
            <w:hyperlink r:id="rId16">
              <w:r>
                <w:rPr>
                  <w:color w:val="0B5CAD"/>
                  <w:u w:val="single"/>
                  <w:sz w:val="18"/>
                </w:rPr>
                <w:t>infra/urponline-oneclick.yaml</w:t>
              </w:r>
            </w:hyperlink>
          </w:p>
        </w:tc>
        <w:tc>
          <w:tcPr>
            <w:tcW w:type="dxa" w:w="6123"/>
          </w:tcPr>
          <w:p>
            <w:r/>
            <w:r>
              <w:rPr>
                <w:b w:val="0"/>
                <w:sz w:val="19"/>
              </w:rPr>
              <w:t>UserData: PgBouncer y Port=6432 en la conexión de la app.</w:t>
            </w:r>
          </w:p>
        </w:tc>
      </w:tr>
      <w:tr>
        <w:tc>
          <w:tcPr>
            <w:tcW w:type="dxa" w:w="3515"/>
          </w:tcPr>
          <w:p>
            <w:r/>
            <w:hyperlink r:id="rId17">
              <w:r>
                <w:rPr>
                  <w:color w:val="0B5CAD"/>
                  <w:u w:val="single"/>
                  <w:sz w:val="18"/>
                </w:rPr>
                <w:t>Program.cs</w:t>
              </w:r>
            </w:hyperlink>
          </w:p>
        </w:tc>
        <w:tc>
          <w:tcPr>
            <w:tcW w:type="dxa" w:w="6123"/>
          </w:tcPr>
          <w:p>
            <w:r/>
            <w:r>
              <w:rPr>
                <w:b w:val="0"/>
                <w:sz w:val="19"/>
              </w:rPr>
              <w:t>Migraciones con una conexión directa al 5432.</w:t>
            </w:r>
          </w:p>
        </w:tc>
      </w:tr>
      <w:tr>
        <w:tc>
          <w:tcPr>
            <w:tcW w:type="dxa" w:w="3515"/>
          </w:tcPr>
          <w:p>
            <w:r/>
            <w:hyperlink r:id="rId18">
              <w:r>
                <w:rPr>
                  <w:color w:val="0B5CAD"/>
                  <w:u w:val="single"/>
                  <w:sz w:val="18"/>
                </w:rPr>
                <w:t>scripts/pgbouncer.ini.example</w:t>
              </w:r>
            </w:hyperlink>
          </w:p>
        </w:tc>
        <w:tc>
          <w:tcPr>
            <w:tcW w:type="dxa" w:w="6123"/>
          </w:tcPr>
          <w:p>
            <w:r/>
            <w:r>
              <w:rPr>
                <w:b w:val="0"/>
                <w:sz w:val="19"/>
              </w:rPr>
              <w:t>Configuración base de PgBouncer.</w:t>
            </w:r>
          </w:p>
        </w:tc>
      </w:tr>
      <w:tr>
        <w:tc>
          <w:tcPr>
            <w:tcW w:type="dxa" w:w="3515"/>
          </w:tcPr>
          <w:p>
            <w:r/>
            <w:hyperlink r:id="rId19">
              <w:r>
                <w:rPr>
                  <w:color w:val="0B5CAD"/>
                  <w:u w:val="single"/>
                  <w:sz w:val="18"/>
                </w:rPr>
                <w:t>Data/Migrations/</w:t>
              </w:r>
            </w:hyperlink>
          </w:p>
        </w:tc>
        <w:tc>
          <w:tcPr>
            <w:tcW w:type="dxa" w:w="6123"/>
          </w:tcPr>
          <w:p>
            <w:r/>
            <w:r>
              <w:rPr>
                <w:b w:val="0"/>
                <w:sz w:val="19"/>
              </w:rPr>
              <w:t>Aquí se crea la migración MasProductos.</w:t>
            </w:r>
          </w:p>
        </w:tc>
      </w:tr>
      <w:tr>
        <w:tc>
          <w:tcPr>
            <w:tcW w:type="dxa" w:w="3515"/>
          </w:tcPr>
          <w:p>
            <w:r/>
            <w:hyperlink r:id="rId20">
              <w:r>
                <w:rPr>
                  <w:color w:val="0B5CAD"/>
                  <w:u w:val="single"/>
                  <w:sz w:val="18"/>
                </w:rPr>
                <w:t>Services/ProductEmbeddingIndexer.cs</w:t>
              </w:r>
            </w:hyperlink>
          </w:p>
        </w:tc>
        <w:tc>
          <w:tcPr>
            <w:tcW w:type="dxa" w:w="6123"/>
          </w:tcPr>
          <w:p>
            <w:r/>
            <w:r>
              <w:rPr>
                <w:b w:val="0"/>
                <w:sz w:val="19"/>
              </w:rPr>
              <w:t>Calcula los vectores (al arrancar y cada 10 minutos).</w:t>
            </w:r>
          </w:p>
        </w:tc>
      </w:tr>
      <w:tr>
        <w:tc>
          <w:tcPr>
            <w:tcW w:type="dxa" w:w="3515"/>
          </w:tcPr>
          <w:p>
            <w:r/>
            <w:hyperlink r:id="rId21">
              <w:r>
                <w:rPr>
                  <w:color w:val="0B5CAD"/>
                  <w:u w:val="single"/>
                  <w:sz w:val="18"/>
                </w:rPr>
                <w:t>Services/ProductVectorStore.cs</w:t>
              </w:r>
            </w:hyperlink>
          </w:p>
        </w:tc>
        <w:tc>
          <w:tcPr>
            <w:tcW w:type="dxa" w:w="6123"/>
          </w:tcPr>
          <w:p>
            <w:r/>
            <w:r>
              <w:rPr>
                <w:b w:val="0"/>
                <w:sz w:val="19"/>
              </w:rPr>
              <w:t>La consulta de similitud con pgvector.</w:t>
            </w:r>
          </w:p>
        </w:tc>
      </w:tr>
      <w:tr>
        <w:tc>
          <w:tcPr>
            <w:tcW w:type="dxa" w:w="3515"/>
          </w:tcPr>
          <w:p>
            <w:r/>
            <w:hyperlink r:id="rId22">
              <w:r>
                <w:rPr>
                  <w:color w:val="0B5CAD"/>
                  <w:u w:val="single"/>
                  <w:sz w:val="18"/>
                </w:rPr>
                <w:t>appsettings.json</w:t>
              </w:r>
            </w:hyperlink>
          </w:p>
        </w:tc>
        <w:tc>
          <w:tcPr>
            <w:tcW w:type="dxa" w:w="6123"/>
          </w:tcPr>
          <w:p>
            <w:r/>
            <w:r>
              <w:rPr>
                <w:b w:val="0"/>
                <w:sz w:val="19"/>
              </w:rPr>
              <w:t>Embeddings:MinSimilarity (umbral) y RelatedLimit.</w:t>
            </w:r>
          </w:p>
        </w:tc>
      </w:tr>
    </w:tbl>
    <w:p>
      <w:r>
        <w:br w:type="page"/>
      </w:r>
    </w:p>
    <w:p>
      <w:pPr>
        <w:pStyle w:val="Heading1"/>
      </w:pPr>
      <w:r>
        <w:t>Bloque 3: Carrito y pago (5 puntos, todo o nada)</w:t>
      </w:r>
    </w:p>
    <w:p>
      <w:pPr>
        <w:spacing w:after="80"/>
      </w:pPr>
      <w:r>
        <w:rPr>
          <w:b/>
          <w:color w:val="0B5CAD"/>
        </w:rPr>
        <w:t xml:space="preserve">El problema: </w:t>
      </w:r>
      <w:r>
        <w:t>Hoy el dashboard solo muestra ventas: si durante 15 minutos hay 0 ventas, el gerente no sabe si no hay clientes o si hay 300 personas con carrito y el pago está fallando. Y cuando el cliente confirma, el pedido queda en PENDIENTE_PAGO y nadie cobra.</w:t>
      </w:r>
    </w:p>
    <w:p>
      <w:pPr>
        <w:spacing w:after="160"/>
      </w:pPr>
      <w:r>
        <w:rPr>
          <w:b/>
          <w:color w:val="0B5CAD"/>
        </w:rPr>
        <w:t xml:space="preserve">Contexto: </w:t>
      </w:r>
      <w:r>
        <w:t>El grupo agrega métricas del carrito siguiendo el modelo de OrdersCreated (Services/BusinessMetrics.cs) e integra Mercado Pago (u otra pasarela con modo de prueba) con credenciales, usuarios y tarjetas de prueba (anexo E). Flujo de pago: el pedido se guarda en PENDIENTE_PAGO, la tienda pide a Mercado Pago un link de pago, el cliente paga con una tarjeta de prueba y vuelve con el número de pago; la tienda consulta ese pago a Mercado Pago desde el servidor y solo si está aprobado marca PAGADO. Regla de oro: no se marca pagado solo porque el cliente llegó a la página de «gracias», que la puede abrir cualquiera.</w:t>
      </w:r>
    </w:p>
    <w:p>
      <w:pPr>
        <w:pStyle w:val="Heading2"/>
      </w:pPr>
      <w:r>
        <w:t>3a. Métricas del carrito con el AWS SDK (en el video)</w:t>
      </w:r>
    </w:p>
    <w:p>
      <w:pPr>
        <w:spacing w:after="60"/>
      </w:pPr>
      <w:r>
        <w:rPr>
          <w:b/>
          <w:color w:val="0B5CAD"/>
        </w:rPr>
        <w:t xml:space="preserve">Qué hace el grupo: </w:t>
      </w:r>
      <w:r>
        <w:t>CartItemsAdded: cada «Agregar al carrito» (desde Controllers/CartController.cs). ActiveCarts: personas distintas que agregaron algo en los últimos 5 minutos; diseño sugerido: anotar en Redis cada sesión con la hora de su última actividad y cada minuto contar las de los últimos 5 minutos. Nunca se registra el identificador de sesión tal cual: se usa un hash.</w:t>
      </w:r>
    </w:p>
    <w:p>
      <w:pPr>
        <w:spacing w:after="60"/>
      </w:pPr>
      <w:r>
        <w:rPr>
          <w:b/>
          <w:color w:val="0B5CAD"/>
        </w:rPr>
        <w:t xml:space="preserve">Cómo lo demuestra: </w:t>
      </w:r>
      <w:r>
        <w:t>Las dos métricas con datos en CloudWatch → Metrics → URPOnline, agregando productos desde varios navegadores.</w:t>
      </w:r>
    </w:p>
    <w:p>
      <w:pPr>
        <w:spacing w:after="200"/>
        <w:ind w:left="170"/>
        <w:shd w:val="clear" w:color="auto" w:fill="E8F5EC"/>
        <w:pBdr>
          <w:left w:val="single" w:sz="18" w:space="6" w:color="1A7F37"/>
        </w:pBdr>
      </w:pPr>
      <w:r>
        <w:rPr>
          <w:b/>
          <w:color w:val="1A7F37"/>
        </w:rPr>
        <w:t xml:space="preserve">Cumple si: </w:t>
      </w:r>
      <w:r>
        <w:t>Las dos métricas con datos correctos (ActiveCarts cuenta personas, no clics).</w:t>
      </w:r>
    </w:p>
    <w:p>
      <w:pPr>
        <w:pStyle w:val="Heading2"/>
      </w:pPr>
      <w:r>
        <w:t>3b. Gráfica, alarma y usuarios simulados (en el video)</w:t>
      </w:r>
    </w:p>
    <w:p>
      <w:pPr>
        <w:spacing w:after="60"/>
      </w:pPr>
      <w:r>
        <w:rPr>
          <w:b/>
          <w:color w:val="0B5CAD"/>
        </w:rPr>
        <w:t xml:space="preserve">Qué hace el grupo: </w:t>
      </w:r>
      <w:r>
        <w:t>En el YAML: una gráfica con carritos activos y compras juntos (la conversión) y una alarma de carritos abandonados (carritos activos y 0 compras durante 15 minutos). Con k6 simula unos 30 clientes que agregan al carrito sin pagar (cada uno con su sesión y el token del formulario).</w:t>
      </w:r>
    </w:p>
    <w:p>
      <w:pPr>
        <w:spacing w:after="60"/>
      </w:pPr>
      <w:r>
        <w:rPr>
          <w:b/>
          <w:color w:val="0B5CAD"/>
        </w:rPr>
        <w:t xml:space="preserve">Cómo lo demuestra: </w:t>
      </w:r>
      <w:r>
        <w:t>ActiveCarts sube a unos 30, OrdersCreated queda en 0, la alarma se activa; una compra real la devuelve a OK.</w:t>
      </w:r>
    </w:p>
    <w:p>
      <w:pPr>
        <w:spacing w:after="200"/>
        <w:ind w:left="170"/>
        <w:shd w:val="clear" w:color="auto" w:fill="E8F5EC"/>
        <w:pBdr>
          <w:left w:val="single" w:sz="18" w:space="6" w:color="1A7F37"/>
        </w:pBdr>
      </w:pPr>
      <w:r>
        <w:rPr>
          <w:b/>
          <w:color w:val="1A7F37"/>
        </w:rPr>
        <w:t xml:space="preserve">Cumple si: </w:t>
      </w:r>
      <w:r>
        <w:t>Gráfica y alarma creadas desde el YAML, y la simulación activa y recupera la alarma.</w:t>
      </w:r>
    </w:p>
    <w:p>
      <w:pPr>
        <w:pStyle w:val="Heading2"/>
      </w:pPr>
      <w:r>
        <w:t>3c. Credenciales de pago seguras (en el video)</w:t>
      </w:r>
    </w:p>
    <w:p>
      <w:pPr>
        <w:spacing w:after="60"/>
      </w:pPr>
      <w:r>
        <w:rPr>
          <w:b/>
          <w:color w:val="0B5CAD"/>
        </w:rPr>
        <w:t xml:space="preserve">Qué hace el grupo: </w:t>
      </w:r>
      <w:r>
        <w:t>Crea su aplicación y cuentas de prueba en Mercado Pago y guarda el token de prueba en Secrets Manager (secreto creado por el YAML sin el valor, con permiso de lectura para el rol de la EC2). La app lo lee con el AWS SDK.</w:t>
      </w:r>
    </w:p>
    <w:p>
      <w:pPr>
        <w:spacing w:after="60"/>
      </w:pPr>
      <w:r>
        <w:rPr>
          <w:b/>
          <w:color w:val="0B5CAD"/>
        </w:rPr>
        <w:t xml:space="preserve">Cómo lo demuestra: </w:t>
      </w:r>
      <w:r>
        <w:t>El secreto en Secrets Manager (sin el valor); el token no aparece en GitHub ni en la EC2.</w:t>
      </w:r>
    </w:p>
    <w:p>
      <w:pPr>
        <w:spacing w:after="200"/>
        <w:ind w:left="170"/>
        <w:shd w:val="clear" w:color="auto" w:fill="E8F5EC"/>
        <w:pBdr>
          <w:left w:val="single" w:sz="18" w:space="6" w:color="1A7F37"/>
        </w:pBdr>
      </w:pPr>
      <w:r>
        <w:rPr>
          <w:b/>
          <w:color w:val="1A7F37"/>
        </w:rPr>
        <w:t xml:space="preserve">Cumple si: </w:t>
      </w:r>
      <w:r>
        <w:t>El token solo está en Secrets Manager, creado y autorizado desde el YAML.</w:t>
      </w:r>
    </w:p>
    <w:p>
      <w:pPr>
        <w:pStyle w:val="Heading2"/>
      </w:pPr>
      <w:r>
        <w:t>3d. Pago con tarjeta de prueba (en vivo y en el video)</w:t>
      </w:r>
    </w:p>
    <w:p>
      <w:pPr>
        <w:spacing w:after="60"/>
      </w:pPr>
      <w:r>
        <w:rPr>
          <w:b/>
          <w:color w:val="0B5CAD"/>
        </w:rPr>
        <w:t xml:space="preserve">Qué hace el grupo: </w:t>
      </w:r>
      <w:r>
        <w:t>En Controllers/CheckoutController.cs, después de guardar el pedido, la tienda pide a Mercado Pago el link de pago (con el número de pedido y la dirección de regreso) y lleva al cliente a pagar.</w:t>
      </w:r>
    </w:p>
    <w:p>
      <w:pPr>
        <w:spacing w:after="60"/>
      </w:pPr>
      <w:r>
        <w:rPr>
          <w:b/>
          <w:color w:val="0B5CAD"/>
        </w:rPr>
        <w:t xml:space="preserve">Cómo lo demuestra: </w:t>
      </w:r>
      <w:r>
        <w:t>En vivo: compra, paga con el comprador de prueba y una tarjeta de prueba, y vuelve a la tienda.</w:t>
      </w:r>
    </w:p>
    <w:p>
      <w:pPr>
        <w:spacing w:after="200"/>
        <w:ind w:left="170"/>
        <w:shd w:val="clear" w:color="auto" w:fill="E8F5EC"/>
        <w:pBdr>
          <w:left w:val="single" w:sz="18" w:space="6" w:color="1A7F37"/>
        </w:pBdr>
      </w:pPr>
      <w:r>
        <w:rPr>
          <w:b/>
          <w:color w:val="1A7F37"/>
        </w:rPr>
        <w:t xml:space="preserve">Cumple si: </w:t>
      </w:r>
      <w:r>
        <w:t>El ciclo completo funciona en vivo, solo con elementos de prueba.</w:t>
      </w:r>
    </w:p>
    <w:p>
      <w:pPr>
        <w:pStyle w:val="Heading2"/>
      </w:pPr>
      <w:r>
        <w:t>3e. Confirmación segura al volver (en el video)</w:t>
      </w:r>
    </w:p>
    <w:p>
      <w:pPr>
        <w:spacing w:after="60"/>
      </w:pPr>
      <w:r>
        <w:rPr>
          <w:b/>
          <w:color w:val="0B5CAD"/>
        </w:rPr>
        <w:t xml:space="preserve">Qué hace el grupo: </w:t>
      </w:r>
      <w:r>
        <w:t>Al regresar, la tienda consulta el pago a Mercado Pago desde el servidor y solo si está aprobado marca PAGADO. Si el cliente recarga la página, nada se registra dos veces.</w:t>
      </w:r>
    </w:p>
    <w:p>
      <w:pPr>
        <w:spacing w:after="60"/>
      </w:pPr>
      <w:r>
        <w:rPr>
          <w:b/>
          <w:color w:val="0B5CAD"/>
        </w:rPr>
        <w:t xml:space="preserve">Cómo lo demuestra: </w:t>
      </w:r>
      <w:r>
        <w:t>Con titular APRO el pedido pasa a PAGADO; con OTHE o FUND queda en PENDIENTE_PAGO y el cliente ve el rechazo; al recargar, nada se duplica.</w:t>
      </w:r>
    </w:p>
    <w:p>
      <w:pPr>
        <w:spacing w:after="60"/>
      </w:pPr>
      <w:r>
        <w:rPr>
          <w:b/>
          <w:color w:val="0B5CAD"/>
        </w:rPr>
        <w:t xml:space="preserve">Qué debe poder explicar: </w:t>
      </w:r>
      <w:r>
        <w:t>El límite del diseño: si el cliente paga y cierra el navegador antes de volver, el pedido queda en PENDIENTE_PAGO.</w:t>
      </w:r>
    </w:p>
    <w:p>
      <w:pPr>
        <w:spacing w:after="200"/>
        <w:ind w:left="170"/>
        <w:shd w:val="clear" w:color="auto" w:fill="E8F5EC"/>
        <w:pBdr>
          <w:left w:val="single" w:sz="18" w:space="6" w:color="1A7F37"/>
        </w:pBdr>
      </w:pPr>
      <w:r>
        <w:rPr>
          <w:b/>
          <w:color w:val="1A7F37"/>
        </w:rPr>
        <w:t xml:space="preserve">Cumple si: </w:t>
      </w:r>
      <w:r>
        <w:t>Consulta el pago desde el servidor, distingue aprobado y rechazado y no duplica.</w:t>
      </w:r>
    </w:p>
    <w:p>
      <w:pPr>
        <w:keepNext/>
        <w:spacing w:after="40"/>
      </w:pPr>
      <w:r>
        <w:rPr>
          <w:b/>
          <w:i w:val="0"/>
          <w:color w:val="0B5CAD"/>
        </w:rPr>
        <w:t>Dónde cambiar en GitHub (en el fork del grupo)</w:t>
      </w:r>
    </w:p>
    <w:tbl>
      <w:tblPr>
        <w:tblStyle w:val="TableGrid"/>
        <w:tblW w:type="auto" w:w="0"/>
        <w:jc w:val="center"/>
        <w:tblLook w:firstColumn="1" w:firstRow="1" w:lastColumn="0" w:lastRow="0" w:noHBand="0" w:noVBand="1" w:val="04A0"/>
      </w:tblPr>
      <w:tblGrid>
        <w:gridCol w:w="4819"/>
        <w:gridCol w:w="4819"/>
      </w:tblGrid>
      <w:tr>
        <w:tc>
          <w:tcPr>
            <w:tcW w:type="dxa" w:w="3515"/>
            <w:shd w:val="clear" w:color="auto" w:fill="0B5CAD"/>
          </w:tcPr>
          <w:p>
            <w:r/>
            <w:r>
              <w:rPr>
                <w:b/>
                <w:color w:val="FFFFFF"/>
                <w:sz w:val="19"/>
              </w:rPr>
              <w:t>Archivo</w:t>
            </w:r>
          </w:p>
        </w:tc>
        <w:tc>
          <w:tcPr>
            <w:tcW w:type="dxa" w:w="6123"/>
            <w:shd w:val="clear" w:color="auto" w:fill="0B5CAD"/>
          </w:tcPr>
          <w:p>
            <w:r/>
            <w:r>
              <w:rPr>
                <w:b/>
                <w:color w:val="FFFFFF"/>
                <w:sz w:val="19"/>
              </w:rPr>
              <w:t>Qué cambiar o mirar</w:t>
            </w:r>
          </w:p>
        </w:tc>
      </w:tr>
      <w:tr>
        <w:tc>
          <w:tcPr>
            <w:tcW w:type="dxa" w:w="3515"/>
          </w:tcPr>
          <w:p>
            <w:r/>
            <w:hyperlink r:id="rId13">
              <w:r>
                <w:rPr>
                  <w:color w:val="0B5CAD"/>
                  <w:u w:val="single"/>
                  <w:sz w:val="18"/>
                </w:rPr>
                <w:t>Services/BusinessMetrics.cs</w:t>
              </w:r>
            </w:hyperlink>
          </w:p>
        </w:tc>
        <w:tc>
          <w:tcPr>
            <w:tcW w:type="dxa" w:w="6123"/>
          </w:tcPr>
          <w:p>
            <w:r/>
            <w:r>
              <w:rPr>
                <w:b w:val="0"/>
                <w:sz w:val="19"/>
              </w:rPr>
              <w:t>Métodos para CartItemsAdded y ActiveCarts.</w:t>
            </w:r>
          </w:p>
        </w:tc>
      </w:tr>
      <w:tr>
        <w:tc>
          <w:tcPr>
            <w:tcW w:type="dxa" w:w="3515"/>
          </w:tcPr>
          <w:p>
            <w:r/>
            <w:hyperlink r:id="rId23">
              <w:r>
                <w:rPr>
                  <w:color w:val="0B5CAD"/>
                  <w:u w:val="single"/>
                  <w:sz w:val="18"/>
                </w:rPr>
                <w:t>Controllers/CartController.cs</w:t>
              </w:r>
            </w:hyperlink>
          </w:p>
        </w:tc>
        <w:tc>
          <w:tcPr>
            <w:tcW w:type="dxa" w:w="6123"/>
          </w:tcPr>
          <w:p>
            <w:r/>
            <w:r>
              <w:rPr>
                <w:b w:val="0"/>
                <w:sz w:val="19"/>
              </w:rPr>
              <w:t>El botón «Agregar al carrito» llama a la métrica.</w:t>
            </w:r>
          </w:p>
        </w:tc>
      </w:tr>
      <w:tr>
        <w:tc>
          <w:tcPr>
            <w:tcW w:type="dxa" w:w="3515"/>
          </w:tcPr>
          <w:p>
            <w:r/>
            <w:hyperlink r:id="rId24">
              <w:r>
                <w:rPr>
                  <w:color w:val="0B5CAD"/>
                  <w:u w:val="single"/>
                  <w:sz w:val="18"/>
                </w:rPr>
                <w:t>Controllers/CheckoutController.cs</w:t>
              </w:r>
            </w:hyperlink>
          </w:p>
        </w:tc>
        <w:tc>
          <w:tcPr>
            <w:tcW w:type="dxa" w:w="6123"/>
          </w:tcPr>
          <w:p>
            <w:r/>
            <w:r>
              <w:rPr>
                <w:b w:val="0"/>
                <w:sz w:val="19"/>
              </w:rPr>
              <w:t>Llevar al cliente a pagar y confirmar el pago al volver.</w:t>
            </w:r>
          </w:p>
        </w:tc>
      </w:tr>
      <w:tr>
        <w:tc>
          <w:tcPr>
            <w:tcW w:type="dxa" w:w="3515"/>
          </w:tcPr>
          <w:p>
            <w:r/>
            <w:hyperlink r:id="rId25">
              <w:r>
                <w:rPr>
                  <w:color w:val="0B5CAD"/>
                  <w:u w:val="single"/>
                  <w:sz w:val="18"/>
                </w:rPr>
                <w:t>Controllers/PaymentsController.cs</w:t>
              </w:r>
            </w:hyperlink>
          </w:p>
        </w:tc>
        <w:tc>
          <w:tcPr>
            <w:tcW w:type="dxa" w:w="6123"/>
          </w:tcPr>
          <w:p>
            <w:r/>
            <w:r>
              <w:rPr>
                <w:b w:val="0"/>
                <w:sz w:val="19"/>
              </w:rPr>
              <w:t>El pago simulado actual; queda solo para desarrollo local.</w:t>
            </w:r>
          </w:p>
        </w:tc>
      </w:tr>
      <w:tr>
        <w:tc>
          <w:tcPr>
            <w:tcW w:type="dxa" w:w="3515"/>
          </w:tcPr>
          <w:p>
            <w:r/>
            <w:hyperlink r:id="rId26">
              <w:r>
                <w:rPr>
                  <w:color w:val="0B5CAD"/>
                  <w:u w:val="single"/>
                  <w:sz w:val="18"/>
                </w:rPr>
                <w:t>Views/Checkout/Success.cshtml</w:t>
              </w:r>
            </w:hyperlink>
          </w:p>
        </w:tc>
        <w:tc>
          <w:tcPr>
            <w:tcW w:type="dxa" w:w="6123"/>
          </w:tcPr>
          <w:p>
            <w:r/>
            <w:r>
              <w:rPr>
                <w:b w:val="0"/>
                <w:sz w:val="19"/>
              </w:rPr>
              <w:t>Mostrar el estado real del pago.</w:t>
            </w:r>
          </w:p>
        </w:tc>
      </w:tr>
      <w:tr>
        <w:tc>
          <w:tcPr>
            <w:tcW w:type="dxa" w:w="3515"/>
          </w:tcPr>
          <w:p>
            <w:r/>
            <w:hyperlink r:id="rId16">
              <w:r>
                <w:rPr>
                  <w:color w:val="0B5CAD"/>
                  <w:u w:val="single"/>
                  <w:sz w:val="18"/>
                </w:rPr>
                <w:t>infra/urponline-oneclick.yaml</w:t>
              </w:r>
            </w:hyperlink>
          </w:p>
        </w:tc>
        <w:tc>
          <w:tcPr>
            <w:tcW w:type="dxa" w:w="6123"/>
          </w:tcPr>
          <w:p>
            <w:r/>
            <w:r>
              <w:rPr>
                <w:b w:val="0"/>
                <w:sz w:val="19"/>
              </w:rPr>
              <w:t>Gráfica, alarma, secreto del token y permiso del rol de la EC2.</w:t>
            </w:r>
          </w:p>
        </w:tc>
      </w:tr>
    </w:tbl>
    <w:p>
      <w:r>
        <w:br w:type="page"/>
      </w:r>
    </w:p>
    <w:p>
      <w:pPr>
        <w:pStyle w:val="Heading1"/>
      </w:pPr>
      <w:r>
        <w:t>Bloque 4: Sustentación individual (5 puntos, todo o nada)</w:t>
      </w:r>
    </w:p>
    <w:p>
      <w:pPr>
        <w:spacing w:after="120"/>
      </w:pPr>
      <w:r>
        <w:rPr>
          <w:b/>
          <w:color w:val="0B5CAD"/>
        </w:rPr>
        <w:t xml:space="preserve">Objetivo: </w:t>
      </w:r>
      <w:r>
        <w:t>Comprobar que cada integrante entiende el proyecto completo, no solo la parte que hizo. En un equipo real, cualquiera debe poder atender una caída a las 3 a. m.</w:t>
      </w:r>
    </w:p>
    <w:p>
      <w:pPr>
        <w:keepNext/>
        <w:spacing w:after="80"/>
      </w:pPr>
      <w:r>
        <w:rPr>
          <w:b/>
          <w:i w:val="0"/>
          <w:sz w:val="23"/>
        </w:rPr>
        <w:t>Cómo funciona</w:t>
      </w:r>
    </w:p>
    <w:p>
      <w:pPr>
        <w:spacing w:after="60"/>
      </w:pPr>
      <w:r>
        <w:rPr>
          <w:b/>
        </w:rPr>
        <w:t xml:space="preserve">1. </w:t>
      </w:r>
      <w:r>
        <w:t>Desde el inicio del curso los alumnos tienen el banco de 50 preguntas de esta rúbrica.</w:t>
      </w:r>
    </w:p>
    <w:p>
      <w:pPr>
        <w:spacing w:after="60"/>
      </w:pPr>
      <w:r>
        <w:rPr>
          <w:b/>
        </w:rPr>
        <w:t xml:space="preserve">2. </w:t>
      </w:r>
      <w:r>
        <w:t>En la sustentación, cada integrante recibe una pregunta sorteada del banco.</w:t>
      </w:r>
    </w:p>
    <w:p>
      <w:pPr>
        <w:spacing w:after="60"/>
      </w:pPr>
      <w:r>
        <w:rPr>
          <w:b/>
        </w:rPr>
        <w:t xml:space="preserve">3. </w:t>
      </w:r>
      <w:r>
        <w:t>Sustentar es explicar y demostrarlo en la AWS del grupo, con sus propias palabras y sin leer.</w:t>
      </w:r>
    </w:p>
    <w:p>
      <w:pPr>
        <w:spacing w:after="80"/>
      </w:pPr>
    </w:p>
    <w:tbl>
      <w:tblPr>
        <w:tblStyle w:val="TableGrid"/>
        <w:tblW w:type="auto" w:w="0"/>
        <w:jc w:val="center"/>
        <w:tblLook w:firstColumn="1" w:firstRow="1" w:lastColumn="0" w:lastRow="0" w:noHBand="0" w:noVBand="1" w:val="04A0"/>
      </w:tblPr>
      <w:tblGrid>
        <w:gridCol w:w="4819"/>
        <w:gridCol w:w="4819"/>
      </w:tblGrid>
      <w:tr>
        <w:tc>
          <w:tcPr>
            <w:tcW w:type="dxa" w:w="6803"/>
            <w:shd w:val="clear" w:color="auto" w:fill="0B5CAD"/>
          </w:tcPr>
          <w:p>
            <w:r/>
            <w:r>
              <w:rPr>
                <w:b/>
                <w:color w:val="FFFFFF"/>
                <w:sz w:val="19"/>
              </w:rPr>
              <w:t>Situación</w:t>
            </w:r>
          </w:p>
        </w:tc>
        <w:tc>
          <w:tcPr>
            <w:tcW w:type="dxa" w:w="2835"/>
            <w:shd w:val="clear" w:color="auto" w:fill="0B5CAD"/>
          </w:tcPr>
          <w:p>
            <w:pPr>
              <w:jc w:val="center"/>
            </w:pPr>
            <w:r/>
            <w:r>
              <w:rPr>
                <w:b/>
                <w:color w:val="FFFFFF"/>
                <w:sz w:val="19"/>
              </w:rPr>
              <w:t>Puntaje del grupo</w:t>
            </w:r>
          </w:p>
        </w:tc>
      </w:tr>
      <w:tr>
        <w:tc>
          <w:tcPr>
            <w:tcW w:type="dxa" w:w="6803"/>
          </w:tcPr>
          <w:p>
            <w:r/>
            <w:r>
              <w:rPr>
                <w:b w:val="0"/>
                <w:sz w:val="19"/>
              </w:rPr>
              <w:t>Todos los integrantes sustentan bien su pregunta</w:t>
            </w:r>
          </w:p>
        </w:tc>
        <w:tc>
          <w:tcPr>
            <w:tcW w:type="dxa" w:w="2835"/>
          </w:tcPr>
          <w:p>
            <w:pPr>
              <w:jc w:val="center"/>
            </w:pPr>
            <w:r/>
            <w:r>
              <w:rPr>
                <w:b w:val="0"/>
                <w:sz w:val="19"/>
              </w:rPr>
              <w:t>5</w:t>
            </w:r>
          </w:p>
        </w:tc>
      </w:tr>
      <w:tr>
        <w:tc>
          <w:tcPr>
            <w:tcW w:type="dxa" w:w="6803"/>
          </w:tcPr>
          <w:p>
            <w:r/>
            <w:r>
              <w:rPr>
                <w:b w:val="0"/>
                <w:sz w:val="19"/>
              </w:rPr>
              <w:t>Un solo integrante no logra sustentar</w:t>
            </w:r>
          </w:p>
        </w:tc>
        <w:tc>
          <w:tcPr>
            <w:tcW w:type="dxa" w:w="2835"/>
          </w:tcPr>
          <w:p>
            <w:pPr>
              <w:jc w:val="center"/>
            </w:pPr>
            <w:r/>
            <w:r>
              <w:rPr>
                <w:b w:val="0"/>
                <w:sz w:val="19"/>
              </w:rPr>
              <w:t>0</w:t>
            </w:r>
          </w:p>
        </w:tc>
      </w:tr>
    </w:tbl>
    <w:p>
      <w:pPr>
        <w:spacing w:after="80"/>
      </w:pPr>
    </w:p>
    <w:p>
      <w:pPr>
        <w:spacing w:after="80"/>
      </w:pPr>
      <w:r>
        <w:rPr>
          <w:b/>
          <w:i w:val="0"/>
          <w:color w:val="B42318"/>
        </w:rPr>
        <w:t>Como los demás bloques, es todo o nada: no hay puntaje parcial.</w:t>
      </w:r>
    </w:p>
    <w:p>
      <w:r>
        <w:br w:type="page"/>
      </w:r>
    </w:p>
    <w:p>
      <w:pPr>
        <w:pStyle w:val="Heading1"/>
      </w:pPr>
      <w:r>
        <w:t>Banco de 50 preguntas de sustentación</w:t>
      </w:r>
    </w:p>
    <w:p>
      <w:pPr>
        <w:spacing w:after="160"/>
      </w:pPr>
      <w:r>
        <w:rPr>
          <w:b w:val="0"/>
          <w:i w:val="0"/>
          <w:color w:val="55595E"/>
        </w:rPr>
        <w:t>Cada integrante debe poder responder cualquiera de estas preguntas, explicando con sus palabras y mostrándolo en la AWS del grupo. Las respuestas se pueden discutir en GitHub Discussions.</w:t>
      </w:r>
    </w:p>
    <w:p>
      <w:pPr>
        <w:pStyle w:val="Heading2"/>
      </w:pPr>
      <w:r>
        <w:t>A. Arquitectura y seguridad</w:t>
      </w:r>
    </w:p>
    <w:p>
      <w:pPr>
        <w:spacing w:after="120"/>
      </w:pPr>
      <w:r>
        <w:rPr>
          <w:b/>
        </w:rPr>
        <w:t xml:space="preserve">1. </w:t>
      </w:r>
      <w:r>
        <w:rPr>
          <w:b w:val="0"/>
        </w:rPr>
        <w:t>Recorre una compra por la arquitectura, nombrando cada servicio y qué hace.</w:t>
      </w:r>
    </w:p>
    <w:p>
      <w:pPr>
        <w:spacing w:after="120"/>
      </w:pPr>
      <w:r>
        <w:rPr>
          <w:b/>
        </w:rPr>
        <w:t xml:space="preserve">2. </w:t>
      </w:r>
      <w:r>
        <w:rPr>
          <w:b w:val="0"/>
        </w:rPr>
        <w:t>Si cae la zona donde está RDS, ¿qué le pasa a la tienda?</w:t>
      </w:r>
    </w:p>
    <w:p>
      <w:pPr>
        <w:spacing w:after="120"/>
      </w:pPr>
      <w:r>
        <w:rPr>
          <w:b/>
        </w:rPr>
        <w:t xml:space="preserve">3. </w:t>
      </w:r>
      <w:r>
        <w:rPr>
          <w:b w:val="0"/>
        </w:rPr>
        <w:t>Las EC2 están en una subred privada. ¿Cómo salen a internet para llamar a Mercado Pago? ¿Y cómo llegan a S3?</w:t>
      </w:r>
    </w:p>
    <w:p>
      <w:pPr>
        <w:spacing w:after="120"/>
      </w:pPr>
      <w:r>
        <w:rPr>
          <w:b/>
        </w:rPr>
        <w:t xml:space="preserve">4. </w:t>
      </w:r>
      <w:r>
        <w:rPr>
          <w:b w:val="0"/>
        </w:rPr>
        <w:t>¿Qué diferencia hay entre un Security Group y una NACL? Muestra los dos en tu subred de datos.</w:t>
      </w:r>
    </w:p>
    <w:p>
      <w:pPr>
        <w:pStyle w:val="Heading2"/>
      </w:pPr>
      <w:r>
        <w:t>B. Despliegue y AWS SDK</w:t>
      </w:r>
    </w:p>
    <w:p>
      <w:pPr>
        <w:spacing w:after="120"/>
      </w:pPr>
      <w:r>
        <w:rPr>
          <w:b/>
        </w:rPr>
        <w:t xml:space="preserve">5. </w:t>
      </w:r>
      <w:r>
        <w:rPr>
          <w:b w:val="0"/>
        </w:rPr>
        <w:t>Explica qué hace tu pipeline desde que haces push hasta que la tienda responde.</w:t>
      </w:r>
    </w:p>
    <w:p>
      <w:pPr>
        <w:spacing w:after="120"/>
      </w:pPr>
      <w:r>
        <w:rPr>
          <w:b/>
        </w:rPr>
        <w:t xml:space="preserve">6. </w:t>
      </w:r>
      <w:r>
        <w:rPr>
          <w:b w:val="0"/>
        </w:rPr>
        <w:t>Tu pipeline entra a AWS sin ninguna clave guardada en GitHub. ¿Cómo lo hace? Muestra en IAM quién puede usar tu rol. Si otro grupo copia el ARN de tu rol en su repositorio, ¿puede desplegar en tu cuenta?</w:t>
      </w:r>
    </w:p>
    <w:p>
      <w:pPr>
        <w:spacing w:after="120"/>
      </w:pPr>
      <w:r>
        <w:rPr>
          <w:b/>
        </w:rPr>
        <w:t xml:space="preserve">7. </w:t>
      </w:r>
      <w:r>
        <w:rPr>
          <w:b w:val="0"/>
        </w:rPr>
        <w:t>Si la versión nueva no arranca, ¿qué hace CloudFormation? Muéstralo en los eventos.</w:t>
      </w:r>
    </w:p>
    <w:p>
      <w:pPr>
        <w:spacing w:after="120"/>
      </w:pPr>
      <w:r>
        <w:rPr>
          <w:b/>
        </w:rPr>
        <w:t xml:space="preserve">8. </w:t>
      </w:r>
      <w:r>
        <w:rPr>
          <w:b w:val="0"/>
        </w:rPr>
        <w:t>Abre la EC2 y demuestra que no hay claves de AWS. ¿Cómo obtiene credenciales el SDK?</w:t>
      </w:r>
    </w:p>
    <w:p>
      <w:pPr>
        <w:spacing w:after="120"/>
      </w:pPr>
      <w:r>
        <w:rPr>
          <w:b/>
        </w:rPr>
        <w:t xml:space="preserve">9. </w:t>
      </w:r>
      <w:r>
        <w:rPr>
          <w:b w:val="0"/>
        </w:rPr>
        <w:t>Muestra en el código dónde se envía OrdersCreated. Si CloudWatch falla, ¿se pierde la venta?</w:t>
      </w:r>
    </w:p>
    <w:p>
      <w:pPr>
        <w:spacing w:after="120"/>
      </w:pPr>
      <w:r>
        <w:rPr>
          <w:b/>
        </w:rPr>
        <w:t xml:space="preserve">10. </w:t>
      </w:r>
      <w:r>
        <w:rPr>
          <w:b w:val="0"/>
        </w:rPr>
        <w:t>Muestra en IAM los permisos del rol de tu EC2. ¿Por qué solo puede leer ese secreto y no todos?</w:t>
      </w:r>
    </w:p>
    <w:p>
      <w:pPr>
        <w:pStyle w:val="Heading2"/>
      </w:pPr>
      <w:r>
        <w:t>C. Tolerancia a fallas</w:t>
      </w:r>
    </w:p>
    <w:p>
      <w:pPr>
        <w:spacing w:after="120"/>
      </w:pPr>
      <w:r>
        <w:rPr>
          <w:b/>
        </w:rPr>
        <w:t xml:space="preserve">11. </w:t>
      </w:r>
      <w:r>
        <w:rPr>
          <w:b w:val="0"/>
        </w:rPr>
        <w:t>Termina una EC2 en vivo. ¿Por qué el carrito no se pierde y la sesión sigue siendo válida en la otra?</w:t>
      </w:r>
    </w:p>
    <w:p>
      <w:pPr>
        <w:spacing w:after="120"/>
      </w:pPr>
      <w:r>
        <w:rPr>
          <w:b/>
        </w:rPr>
        <w:t xml:space="preserve">12. </w:t>
      </w:r>
      <w:r>
        <w:rPr>
          <w:b w:val="0"/>
        </w:rPr>
        <w:t>¿Cómo decide el balanceador que una instancia está enferma? Muestra la configuración.</w:t>
      </w:r>
    </w:p>
    <w:p>
      <w:pPr>
        <w:spacing w:after="120"/>
      </w:pPr>
      <w:r>
        <w:rPr>
          <w:b/>
        </w:rPr>
        <w:t xml:space="preserve">13. </w:t>
      </w:r>
      <w:r>
        <w:rPr>
          <w:b w:val="0"/>
        </w:rPr>
        <w:t>¿Por qué el Auto Scaling usa el health check del balanceador y no el de EC2?</w:t>
      </w:r>
    </w:p>
    <w:p>
      <w:pPr>
        <w:spacing w:after="120"/>
      </w:pPr>
      <w:r>
        <w:rPr>
          <w:b/>
        </w:rPr>
        <w:t xml:space="preserve">14. </w:t>
      </w:r>
      <w:r>
        <w:rPr>
          <w:b w:val="0"/>
        </w:rPr>
        <w:t>Para simular la caída de zona, ¿por qué usar una NACL y no un Security Group?</w:t>
      </w:r>
    </w:p>
    <w:p>
      <w:pPr>
        <w:spacing w:after="120"/>
      </w:pPr>
      <w:r>
        <w:rPr>
          <w:b/>
        </w:rPr>
        <w:t xml:space="preserve">15. </w:t>
      </w:r>
      <w:r>
        <w:rPr>
          <w:b w:val="0"/>
        </w:rPr>
        <w:t>¿Qué pasa con Redis durante el failover y cuánto dura?</w:t>
      </w:r>
    </w:p>
    <w:p>
      <w:pPr>
        <w:spacing w:after="120"/>
      </w:pPr>
      <w:r>
        <w:rPr>
          <w:b/>
        </w:rPr>
        <w:t xml:space="preserve">16. </w:t>
      </w:r>
      <w:r>
        <w:rPr>
          <w:b w:val="0"/>
        </w:rPr>
        <w:t>En Reachability Analyzer, ¿qué bloqueó el camino y cómo lo sabes? ¿Envía tráfico real?</w:t>
      </w:r>
    </w:p>
    <w:p>
      <w:pPr>
        <w:pStyle w:val="Heading2"/>
      </w:pPr>
      <w:r>
        <w:t>D. Carga y PgBouncer</w:t>
      </w:r>
    </w:p>
    <w:p>
      <w:pPr>
        <w:spacing w:after="120"/>
      </w:pPr>
      <w:r>
        <w:rPr>
          <w:b/>
        </w:rPr>
        <w:t xml:space="preserve">17. </w:t>
      </w:r>
      <w:r>
        <w:rPr>
          <w:b w:val="0"/>
        </w:rPr>
        <w:t>¿Por qué la base se queda sin conexiones si las EC2 tienen CPU libre?</w:t>
      </w:r>
    </w:p>
    <w:p>
      <w:pPr>
        <w:spacing w:after="120"/>
      </w:pPr>
      <w:r>
        <w:rPr>
          <w:b/>
        </w:rPr>
        <w:t xml:space="preserve">18. </w:t>
      </w:r>
      <w:r>
        <w:rPr>
          <w:b w:val="0"/>
        </w:rPr>
        <w:t>¿Qué diferencia hay entre el modo session y el modo transaction de PgBouncer? ¿Por qué usaste transaction?</w:t>
      </w:r>
    </w:p>
    <w:p>
      <w:pPr>
        <w:spacing w:after="120"/>
      </w:pPr>
      <w:r>
        <w:rPr>
          <w:b/>
        </w:rPr>
        <w:t xml:space="preserve">19. </w:t>
      </w:r>
      <w:r>
        <w:rPr>
          <w:b w:val="0"/>
        </w:rPr>
        <w:t>¿Por qué las migraciones van directo al 5432 y no por PgBouncer? ¿Para qué sirve ese bloqueo?</w:t>
      </w:r>
    </w:p>
    <w:p>
      <w:pPr>
        <w:spacing w:after="120"/>
      </w:pPr>
      <w:r>
        <w:rPr>
          <w:b/>
        </w:rPr>
        <w:t xml:space="preserve">20. </w:t>
      </w:r>
      <w:r>
        <w:rPr>
          <w:b w:val="0"/>
        </w:rPr>
        <w:t>Muestra en CloudWatch clientes de PgBouncer frente a conexiones a RDS durante tu prueba. Explica la diferencia.</w:t>
      </w:r>
    </w:p>
    <w:p>
      <w:pPr>
        <w:spacing w:after="120"/>
      </w:pPr>
      <w:r>
        <w:rPr>
          <w:b/>
        </w:rPr>
        <w:t xml:space="preserve">21. </w:t>
      </w:r>
      <w:r>
        <w:rPr>
          <w:b w:val="0"/>
        </w:rPr>
        <w:t>¿Por qué mides p95 y p99 y no el promedio?</w:t>
      </w:r>
    </w:p>
    <w:p>
      <w:pPr>
        <w:spacing w:after="120"/>
      </w:pPr>
      <w:r>
        <w:rPr>
          <w:b/>
        </w:rPr>
        <w:t xml:space="preserve">22. </w:t>
      </w:r>
      <w:r>
        <w:rPr>
          <w:b w:val="0"/>
        </w:rPr>
        <w:t>Explica tu script de k6: cuántos usuarios, cuánto tiempo, qué hace cada uno. ¿Por qué corre desde CloudShell?</w:t>
      </w:r>
    </w:p>
    <w:p>
      <w:pPr>
        <w:spacing w:after="120"/>
      </w:pPr>
      <w:r>
        <w:rPr>
          <w:b/>
        </w:rPr>
        <w:t xml:space="preserve">23. </w:t>
      </w:r>
      <w:r>
        <w:rPr>
          <w:b w:val="0"/>
        </w:rPr>
        <w:t>Si mañana la carga se duplica, ¿qué cambiarías primero y por qué?</w:t>
      </w:r>
    </w:p>
    <w:p>
      <w:pPr>
        <w:pStyle w:val="Heading2"/>
      </w:pPr>
      <w:r>
        <w:t>E. Interpretación de la prueba de carga</w:t>
      </w:r>
    </w:p>
    <w:p>
      <w:pPr>
        <w:spacing w:after="120"/>
      </w:pPr>
      <w:r>
        <w:rPr>
          <w:b/>
        </w:rPr>
        <w:t xml:space="preserve">24. </w:t>
      </w:r>
      <w:r>
        <w:rPr>
          <w:b w:val="0"/>
        </w:rPr>
        <w:t>En tu prueba sin PgBouncer, ¿en qué momento empezaron los errores y cuántos usuarios había? ¿Por qué justo ahí?</w:t>
      </w:r>
    </w:p>
    <w:p>
      <w:pPr>
        <w:spacing w:after="120"/>
      </w:pPr>
      <w:r>
        <w:rPr>
          <w:b/>
        </w:rPr>
        <w:t xml:space="preserve">25. </w:t>
      </w:r>
      <w:r>
        <w:rPr>
          <w:b w:val="0"/>
        </w:rPr>
        <w:t>Las EC2 tenían CPU baja y aun así había errores. ¿Qué te dice eso?</w:t>
      </w:r>
    </w:p>
    <w:p>
      <w:pPr>
        <w:spacing w:after="120"/>
      </w:pPr>
      <w:r>
        <w:rPr>
          <w:b/>
        </w:rPr>
        <w:t xml:space="preserve">26. </w:t>
      </w:r>
      <w:r>
        <w:rPr>
          <w:b w:val="0"/>
        </w:rPr>
        <w:t>Si agregaras 2 EC2 más sin PgBouncer, ¿la tienda mejoraría o empeoraría? ¿Por qué?</w:t>
      </w:r>
    </w:p>
    <w:p>
      <w:pPr>
        <w:spacing w:after="120"/>
      </w:pPr>
      <w:r>
        <w:rPr>
          <w:b/>
        </w:rPr>
        <w:t xml:space="preserve">27. </w:t>
      </w:r>
      <w:r>
        <w:rPr>
          <w:b w:val="0"/>
        </w:rPr>
        <w:t>Con PgBouncer desaparecieron los errores, pero el p95 subió. ¿Por qué? ¿Es un buen intercambio?</w:t>
      </w:r>
    </w:p>
    <w:p>
      <w:pPr>
        <w:spacing w:after="120"/>
      </w:pPr>
      <w:r>
        <w:rPr>
          <w:b/>
        </w:rPr>
        <w:t xml:space="preserve">28. </w:t>
      </w:r>
      <w:r>
        <w:rPr>
          <w:b w:val="0"/>
        </w:rPr>
        <w:t>¿Qué significa que cl_waiting se mantenga alto durante varios minutos? ¿Qué harías?</w:t>
      </w:r>
    </w:p>
    <w:p>
      <w:pPr>
        <w:spacing w:after="120"/>
      </w:pPr>
      <w:r>
        <w:rPr>
          <w:b/>
        </w:rPr>
        <w:t xml:space="preserve">29. </w:t>
      </w:r>
      <w:r>
        <w:rPr>
          <w:b w:val="0"/>
        </w:rPr>
        <w:t>Tu prueba con 200 usuarios no saturó la base. ¿Fracasó la prueba? ¿Qué haces?</w:t>
      </w:r>
    </w:p>
    <w:p>
      <w:pPr>
        <w:spacing w:after="120"/>
      </w:pPr>
      <w:r>
        <w:rPr>
          <w:b/>
        </w:rPr>
        <w:t xml:space="preserve">30. </w:t>
      </w:r>
      <w:r>
        <w:rPr>
          <w:b w:val="0"/>
        </w:rPr>
        <w:t>Según tus datos, ¿cuántos usuarios simultáneos soporta tu tienda? ¿Cómo lo justificas?</w:t>
      </w:r>
    </w:p>
    <w:p>
      <w:pPr>
        <w:spacing w:after="120"/>
      </w:pPr>
      <w:r>
        <w:rPr>
          <w:b/>
        </w:rPr>
        <w:t xml:space="preserve">31. </w:t>
      </w:r>
      <w:r>
        <w:rPr>
          <w:b w:val="0"/>
        </w:rPr>
        <w:t>El gerente pregunta: «¿Estamos listos para Cyber Monday?». ¿Qué le respondes con tus resultados?</w:t>
      </w:r>
    </w:p>
    <w:p>
      <w:pPr>
        <w:pStyle w:val="Heading2"/>
      </w:pPr>
      <w:r>
        <w:t>F. Búsqueda por vectores</w:t>
      </w:r>
    </w:p>
    <w:p>
      <w:pPr>
        <w:spacing w:after="120"/>
      </w:pPr>
      <w:r>
        <w:rPr>
          <w:b/>
        </w:rPr>
        <w:t xml:space="preserve">32. </w:t>
      </w:r>
      <w:r>
        <w:rPr>
          <w:b w:val="0"/>
        </w:rPr>
        <w:t>¿Qué es el vector de un producto? ¿Cuántos números tiene y qué representan?</w:t>
      </w:r>
    </w:p>
    <w:p>
      <w:pPr>
        <w:spacing w:after="120"/>
      </w:pPr>
      <w:r>
        <w:rPr>
          <w:b/>
        </w:rPr>
        <w:t xml:space="preserve">33. </w:t>
      </w:r>
      <w:r>
        <w:rPr>
          <w:b w:val="0"/>
        </w:rPr>
        <w:t>Buscas «algo para escuchar música» y aparecen los audífonos, aunque no contienen esas palabras. ¿Por qué?</w:t>
      </w:r>
    </w:p>
    <w:p>
      <w:pPr>
        <w:spacing w:after="120"/>
      </w:pPr>
      <w:r>
        <w:rPr>
          <w:b/>
        </w:rPr>
        <w:t xml:space="preserve">34. </w:t>
      </w:r>
      <w:r>
        <w:rPr>
          <w:b w:val="0"/>
        </w:rPr>
        <w:t>¿Dónde se calcula el vector: en un servicio externo o en tu EC2? ¿Por qué importa?</w:t>
      </w:r>
    </w:p>
    <w:p>
      <w:pPr>
        <w:spacing w:after="120"/>
      </w:pPr>
      <w:r>
        <w:rPr>
          <w:b/>
        </w:rPr>
        <w:t xml:space="preserve">35. </w:t>
      </w:r>
      <w:r>
        <w:rPr>
          <w:b w:val="0"/>
        </w:rPr>
        <w:t>¿Cuándo se calculan los vectores de los productos y dónde se guardan?</w:t>
      </w:r>
    </w:p>
    <w:p>
      <w:pPr>
        <w:spacing w:after="120"/>
      </w:pPr>
      <w:r>
        <w:rPr>
          <w:b/>
        </w:rPr>
        <w:t xml:space="preserve">36. </w:t>
      </w:r>
      <w:r>
        <w:rPr>
          <w:b w:val="0"/>
        </w:rPr>
        <w:t>Muestra la consulta SQL que busca los parecidos. ¿Qué significa &lt;=&gt; y por qué la similitud es 1 − distancia?</w:t>
      </w:r>
    </w:p>
    <w:p>
      <w:pPr>
        <w:spacing w:after="120"/>
      </w:pPr>
      <w:r>
        <w:rPr>
          <w:b/>
        </w:rPr>
        <w:t xml:space="preserve">37. </w:t>
      </w:r>
      <w:r>
        <w:rPr>
          <w:b w:val="0"/>
        </w:rPr>
        <w:t>¿Para qué sirve el índice HNSW? ¿Qué pasaría con un millón de productos sin él?</w:t>
      </w:r>
    </w:p>
    <w:p>
      <w:pPr>
        <w:spacing w:after="120"/>
      </w:pPr>
      <w:r>
        <w:rPr>
          <w:b/>
        </w:rPr>
        <w:t xml:space="preserve">38. </w:t>
      </w:r>
      <w:r>
        <w:rPr>
          <w:b w:val="0"/>
        </w:rPr>
        <w:t>Si subes el umbral de similitud de 0,3 a 0,8, ¿qué cambia en los resultados?</w:t>
      </w:r>
    </w:p>
    <w:p>
      <w:pPr>
        <w:spacing w:after="120"/>
      </w:pPr>
      <w:r>
        <w:rPr>
          <w:b/>
        </w:rPr>
        <w:t xml:space="preserve">39. </w:t>
      </w:r>
      <w:r>
        <w:rPr>
          <w:b w:val="0"/>
        </w:rPr>
        <w:t>Agregas un producto nuevo con la migración. ¿Cuánto tarda en aparecer en la búsqueda por significado, y por qué?</w:t>
      </w:r>
    </w:p>
    <w:p>
      <w:pPr>
        <w:pStyle w:val="Heading2"/>
      </w:pPr>
      <w:r>
        <w:t>G. Monitoreo del carrito</w:t>
      </w:r>
    </w:p>
    <w:p>
      <w:pPr>
        <w:spacing w:after="120"/>
      </w:pPr>
      <w:r>
        <w:rPr>
          <w:b/>
        </w:rPr>
        <w:t xml:space="preserve">40. </w:t>
      </w:r>
      <w:r>
        <w:rPr>
          <w:b w:val="0"/>
        </w:rPr>
        <w:t>Muestra cómo calculas ActiveCarts. ¿Por qué no es lo mismo que CartItemsAdded?</w:t>
      </w:r>
    </w:p>
    <w:p>
      <w:pPr>
        <w:spacing w:after="120"/>
      </w:pPr>
      <w:r>
        <w:rPr>
          <w:b/>
        </w:rPr>
        <w:t xml:space="preserve">41. </w:t>
      </w:r>
      <w:r>
        <w:rPr>
          <w:b w:val="0"/>
        </w:rPr>
        <w:t>Con dos EC2, ¿cómo evitas que ActiveCarts se cuente doble?</w:t>
      </w:r>
    </w:p>
    <w:p>
      <w:pPr>
        <w:spacing w:after="120"/>
      </w:pPr>
      <w:r>
        <w:rPr>
          <w:b/>
        </w:rPr>
        <w:t xml:space="preserve">42. </w:t>
      </w:r>
      <w:r>
        <w:rPr>
          <w:b w:val="0"/>
        </w:rPr>
        <w:t>¿Por qué no registras el identificador de sesión tal cual?</w:t>
      </w:r>
    </w:p>
    <w:p>
      <w:pPr>
        <w:spacing w:after="120"/>
      </w:pPr>
      <w:r>
        <w:rPr>
          <w:b/>
        </w:rPr>
        <w:t xml:space="preserve">43. </w:t>
      </w:r>
      <w:r>
        <w:rPr>
          <w:b w:val="0"/>
        </w:rPr>
        <w:t>Hay 40 carritos activos y 0 compras. ¿Qué revisas primero y en qué orden?</w:t>
      </w:r>
    </w:p>
    <w:p>
      <w:pPr>
        <w:spacing w:after="120"/>
      </w:pPr>
      <w:r>
        <w:rPr>
          <w:b/>
        </w:rPr>
        <w:t xml:space="preserve">44. </w:t>
      </w:r>
      <w:r>
        <w:rPr>
          <w:b w:val="0"/>
        </w:rPr>
        <w:t>¿Por qué la gráfica y la alarma están en el YAML y no creadas en la consola?</w:t>
      </w:r>
    </w:p>
    <w:p>
      <w:pPr>
        <w:pStyle w:val="Heading2"/>
      </w:pPr>
      <w:r>
        <w:t>H. Pago de prueba</w:t>
      </w:r>
    </w:p>
    <w:p>
      <w:pPr>
        <w:spacing w:after="120"/>
      </w:pPr>
      <w:r>
        <w:rPr>
          <w:b/>
        </w:rPr>
        <w:t xml:space="preserve">45. </w:t>
      </w:r>
      <w:r>
        <w:rPr>
          <w:b w:val="0"/>
        </w:rPr>
        <w:t>Explica el flujo de pago. ¿Por qué no basta con que el cliente llegue a la página de «gracias»?</w:t>
      </w:r>
    </w:p>
    <w:p>
      <w:pPr>
        <w:spacing w:after="120"/>
      </w:pPr>
      <w:r>
        <w:rPr>
          <w:b/>
        </w:rPr>
        <w:t xml:space="preserve">46. </w:t>
      </w:r>
      <w:r>
        <w:rPr>
          <w:b w:val="0"/>
        </w:rPr>
        <w:t>¿Dónde está el token de Mercado Pago y cómo lo obtiene la app?</w:t>
      </w:r>
    </w:p>
    <w:p>
      <w:pPr>
        <w:spacing w:after="120"/>
      </w:pPr>
      <w:r>
        <w:rPr>
          <w:b/>
        </w:rPr>
        <w:t xml:space="preserve">47. </w:t>
      </w:r>
      <w:r>
        <w:rPr>
          <w:b w:val="0"/>
        </w:rPr>
        <w:t>¿Cómo confirma tu tienda que el pago está aprobado? Muéstralo en el código.</w:t>
      </w:r>
    </w:p>
    <w:p>
      <w:pPr>
        <w:spacing w:after="120"/>
      </w:pPr>
      <w:r>
        <w:rPr>
          <w:b/>
        </w:rPr>
        <w:t xml:space="preserve">48. </w:t>
      </w:r>
      <w:r>
        <w:rPr>
          <w:b w:val="0"/>
        </w:rPr>
        <w:t>Si el cliente recarga la página de regreso 3 veces, ¿qué pasa con el pedido?</w:t>
      </w:r>
    </w:p>
    <w:p>
      <w:pPr>
        <w:spacing w:after="120"/>
      </w:pPr>
      <w:r>
        <w:rPr>
          <w:b/>
        </w:rPr>
        <w:t xml:space="preserve">49. </w:t>
      </w:r>
      <w:r>
        <w:rPr>
          <w:b w:val="0"/>
        </w:rPr>
        <w:t>Si el cliente paga y cierra el navegador antes de volver, ¿en qué estado queda el pedido? ¿Por qué?</w:t>
      </w:r>
    </w:p>
    <w:p>
      <w:pPr>
        <w:spacing w:after="120"/>
      </w:pPr>
      <w:r>
        <w:rPr>
          <w:b/>
        </w:rPr>
        <w:t xml:space="preserve">50. </w:t>
      </w:r>
      <w:r>
        <w:rPr>
          <w:b w:val="0"/>
        </w:rPr>
        <w:t>Paga con una tarjeta de prueba rechazada. ¿Qué ve el cliente y en qué estado queda el pedido?</w:t>
      </w:r>
    </w:p>
    <w:p>
      <w:r>
        <w:br w:type="page"/>
      </w:r>
    </w:p>
    <w:p>
      <w:pPr>
        <w:pStyle w:val="Heading1"/>
      </w:pPr>
      <w:r>
        <w:t>Anexo A: OIDC, cómo GitHub entra a AWS sin contraseñas</w:t>
      </w:r>
    </w:p>
    <w:p>
      <w:pPr>
        <w:spacing w:after="80"/>
      </w:pPr>
      <w:r>
        <w:rPr>
          <w:b w:val="0"/>
          <w:i w:val="0"/>
        </w:rPr>
        <w:t>El pipeline necesita crear recursos en la cuenta de AWS del grupo. La forma antigua era guardar una Access Key en GitHub: es permanente y, si se filtra, cualquiera entra a la cuenta. OIDC (OpenID Connect) es un estándar para que un sistema demuestre quién es sin compartir contraseñas, igual que «Iniciar sesión con Google».</w:t>
      </w:r>
    </w:p>
    <w:p>
      <w:pPr>
        <w:spacing w:after="120"/>
      </w:pPr>
      <w:r>
        <w:rPr>
          <w:b w:val="0"/>
          <w:i/>
        </w:rPr>
        <w:t>Analogía: la Access Key es una copia de la llave del edificio. OIDC es un portero con una lista: cada visitante muestra su DNI (emitido por una autoridad confiable) y, si está en la lista, recibe un pase que vence en una hora.</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0B5CAD"/>
          </w:tcPr>
          <w:p>
            <w:r/>
            <w:r>
              <w:rPr>
                <w:b/>
                <w:color w:val="FFFFFF"/>
                <w:sz w:val="19"/>
              </w:rPr>
              <w:t>En la analogía</w:t>
            </w:r>
          </w:p>
        </w:tc>
        <w:tc>
          <w:tcPr>
            <w:tcW w:type="dxa" w:w="6520"/>
            <w:shd w:val="clear" w:color="auto" w:fill="0B5CAD"/>
          </w:tcPr>
          <w:p>
            <w:r/>
            <w:r>
              <w:rPr>
                <w:b/>
                <w:color w:val="FFFFFF"/>
                <w:sz w:val="19"/>
              </w:rPr>
              <w:t>En el laboratorio</w:t>
            </w:r>
          </w:p>
        </w:tc>
      </w:tr>
      <w:tr>
        <w:tc>
          <w:tcPr>
            <w:tcW w:type="dxa" w:w="3118"/>
          </w:tcPr>
          <w:p>
            <w:r/>
            <w:r>
              <w:rPr>
                <w:b/>
                <w:sz w:val="19"/>
              </w:rPr>
              <w:t>La autoridad que emite el DNI</w:t>
            </w:r>
          </w:p>
        </w:tc>
        <w:tc>
          <w:tcPr>
            <w:tcW w:type="dxa" w:w="6520"/>
          </w:tcPr>
          <w:p>
            <w:r/>
            <w:r>
              <w:rPr>
                <w:b w:val="0"/>
                <w:sz w:val="19"/>
              </w:rPr>
              <w:t>GitHub (token.actions.githubusercontent.com)</w:t>
            </w:r>
          </w:p>
        </w:tc>
      </w:tr>
      <w:tr>
        <w:tc>
          <w:tcPr>
            <w:tcW w:type="dxa" w:w="3118"/>
          </w:tcPr>
          <w:p>
            <w:r/>
            <w:r>
              <w:rPr>
                <w:b/>
                <w:sz w:val="19"/>
              </w:rPr>
              <w:t>El DNI</w:t>
            </w:r>
          </w:p>
        </w:tc>
        <w:tc>
          <w:tcPr>
            <w:tcW w:type="dxa" w:w="6520"/>
          </w:tcPr>
          <w:p>
            <w:r/>
            <w:r>
              <w:rPr>
                <w:b w:val="0"/>
                <w:sz w:val="19"/>
              </w:rPr>
              <w:t>Un token que GitHub entrega al pipeline en cada ejecución: «soy el repositorio usuario/tiendaonline, rama main»</w:t>
            </w:r>
          </w:p>
        </w:tc>
      </w:tr>
      <w:tr>
        <w:tc>
          <w:tcPr>
            <w:tcW w:type="dxa" w:w="3118"/>
          </w:tcPr>
          <w:p>
            <w:r/>
            <w:r>
              <w:rPr>
                <w:b/>
                <w:sz w:val="19"/>
              </w:rPr>
              <w:t>El portero</w:t>
            </w:r>
          </w:p>
        </w:tc>
        <w:tc>
          <w:tcPr>
            <w:tcW w:type="dxa" w:w="6520"/>
          </w:tcPr>
          <w:p>
            <w:r/>
            <w:r>
              <w:rPr>
                <w:b w:val="0"/>
                <w:sz w:val="19"/>
              </w:rPr>
              <w:t>AWS STS, el servicio que entrega credenciales temporales</w:t>
            </w:r>
          </w:p>
        </w:tc>
      </w:tr>
      <w:tr>
        <w:tc>
          <w:tcPr>
            <w:tcW w:type="dxa" w:w="3118"/>
          </w:tcPr>
          <w:p>
            <w:r/>
            <w:r>
              <w:rPr>
                <w:b/>
                <w:sz w:val="19"/>
              </w:rPr>
              <w:t>La lista del portero</w:t>
            </w:r>
          </w:p>
        </w:tc>
        <w:tc>
          <w:tcPr>
            <w:tcW w:type="dxa" w:w="6520"/>
          </w:tcPr>
          <w:p>
            <w:r/>
            <w:r>
              <w:rPr>
                <w:b w:val="0"/>
                <w:sz w:val="19"/>
              </w:rPr>
              <w:t>La relación de confianza (Trust relationships) del rol IAM</w:t>
            </w:r>
          </w:p>
        </w:tc>
      </w:tr>
      <w:tr>
        <w:tc>
          <w:tcPr>
            <w:tcW w:type="dxa" w:w="3118"/>
          </w:tcPr>
          <w:p>
            <w:r/>
            <w:r>
              <w:rPr>
                <w:b/>
                <w:sz w:val="19"/>
              </w:rPr>
              <w:t>El pase de visita</w:t>
            </w:r>
          </w:p>
        </w:tc>
        <w:tc>
          <w:tcPr>
            <w:tcW w:type="dxa" w:w="6520"/>
          </w:tcPr>
          <w:p>
            <w:r/>
            <w:r>
              <w:rPr>
                <w:b w:val="0"/>
                <w:sz w:val="19"/>
              </w:rPr>
              <w:t>Credenciales temporales que vencen en una hora como máximo</w:t>
            </w:r>
          </w:p>
        </w:tc>
      </w:tr>
    </w:tbl>
    <w:p>
      <w:pPr>
        <w:spacing w:after="120"/>
      </w:pPr>
    </w:p>
    <w:p>
      <w:pPr>
        <w:keepNext/>
        <w:spacing w:after="80"/>
      </w:pPr>
      <w:r>
        <w:rPr>
          <w:b/>
          <w:i w:val="0"/>
        </w:rPr>
        <w:t>Qué pasa en cada ejecución</w:t>
      </w:r>
    </w:p>
    <w:p>
      <w:pPr>
        <w:pStyle w:val="ListBullet"/>
        <w:spacing w:after="40"/>
      </w:pPr>
      <w:r>
        <w:t>Haces push a main y GitHub Actions arranca.</w:t>
      </w:r>
    </w:p>
    <w:p>
      <w:pPr>
        <w:pStyle w:val="ListBullet"/>
        <w:spacing w:after="40"/>
      </w:pPr>
      <w:r>
        <w:t>El pipeline pide a GitHub un token: «soy repo:usuario/tiendaonline:ref:refs/heads/main».</w:t>
      </w:r>
    </w:p>
    <w:p>
      <w:pPr>
        <w:pStyle w:val="ListBullet"/>
        <w:spacing w:after="40"/>
      </w:pPr>
      <w:r>
        <w:t>Muestra el token a AWS y pide usar el rol urponline-github-deploy-tiendaonline.</w:t>
      </w:r>
    </w:p>
    <w:p>
      <w:pPr>
        <w:pStyle w:val="ListBullet"/>
        <w:spacing w:after="40"/>
      </w:pPr>
      <w:r>
        <w:t>AWS verifica que el token esté firmado por GitHub y que ese repositorio y esa rama estén en la lista del rol.</w:t>
      </w:r>
    </w:p>
    <w:p>
      <w:pPr>
        <w:pStyle w:val="ListBullet"/>
        <w:spacing w:after="40"/>
      </w:pPr>
      <w:r>
        <w:t>AWS entrega credenciales temporales; el pipeline despliega y al terminar vencen solas.</w:t>
      </w:r>
    </w:p>
    <w:p>
      <w:pPr>
        <w:spacing w:after="80"/>
      </w:pPr>
    </w:p>
    <w:p>
      <w:pPr>
        <w:keepNext/>
        <w:spacing w:after="80"/>
      </w:pPr>
      <w:r>
        <w:rPr>
          <w:b/>
          <w:i w:val="0"/>
        </w:rPr>
        <w:t>Las tres piezas</w:t>
      </w:r>
    </w:p>
    <w:p>
      <w:pPr>
        <w:pStyle w:val="ListBullet"/>
        <w:spacing w:after="40"/>
      </w:pPr>
      <w:r>
        <w:t>infra/github-oidc.yaml registra a GitHub como proveedor de identidad en la cuenta (una sola vez).</w:t>
      </w:r>
    </w:p>
    <w:p>
      <w:pPr>
        <w:pStyle w:val="ListBullet"/>
        <w:spacing w:after="40"/>
      </w:pPr>
      <w:r>
        <w:t>infra/github-oidc.yaml crea el rol con su lista: solo repo:TU_USUARIO/tiendaonline en la rama main. Por eso al desplegarla se escribe el usuario de GitHub (GitHubOwner) y el repositorio (RepoName).</w:t>
      </w:r>
    </w:p>
    <w:p>
      <w:pPr>
        <w:pStyle w:val="ListBullet"/>
        <w:spacing w:after="40"/>
      </w:pPr>
      <w:r>
        <w:t>En .github/workflows/deploy-aws.yml, «permissions: id-token: write» permite pedir el token, y el paso aws-actions/configure-aws-credentials lo cambia por credenciales. El secreto AWS_ROLE_ARN no es una contraseña: es el nombre del rol.</w:t>
      </w:r>
    </w:p>
    <w:p>
      <w:pPr>
        <w:spacing w:after="80"/>
      </w:pP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0B5CAD"/>
          </w:tcPr>
          <w:p>
            <w:r/>
            <w:r>
              <w:rPr>
                <w:b/>
                <w:color w:val="FFFFFF"/>
                <w:sz w:val="19"/>
              </w:rPr>
              <w:t>Quién intenta desplegar</w:t>
            </w:r>
          </w:p>
        </w:tc>
        <w:tc>
          <w:tcPr>
            <w:tcW w:type="dxa" w:w="4252"/>
            <w:shd w:val="clear" w:color="auto" w:fill="0B5CAD"/>
          </w:tcPr>
          <w:p>
            <w:r/>
            <w:r>
              <w:rPr>
                <w:b/>
                <w:color w:val="FFFFFF"/>
                <w:sz w:val="19"/>
              </w:rPr>
              <w:t>Qué dice GitHub a AWS</w:t>
            </w:r>
          </w:p>
        </w:tc>
        <w:tc>
          <w:tcPr>
            <w:tcW w:type="dxa" w:w="2551"/>
            <w:shd w:val="clear" w:color="auto" w:fill="0B5CAD"/>
          </w:tcPr>
          <w:p>
            <w:r/>
            <w:r>
              <w:rPr>
                <w:b/>
                <w:color w:val="FFFFFF"/>
                <w:sz w:val="19"/>
              </w:rPr>
              <w:t>Resultado</w:t>
            </w:r>
          </w:p>
        </w:tc>
      </w:tr>
      <w:tr>
        <w:tc>
          <w:tcPr>
            <w:tcW w:type="dxa" w:w="2835"/>
          </w:tcPr>
          <w:p>
            <w:r/>
            <w:r>
              <w:rPr>
                <w:b/>
                <w:sz w:val="19"/>
              </w:rPr>
              <w:t>Tu pipeline, rama main</w:t>
            </w:r>
          </w:p>
        </w:tc>
        <w:tc>
          <w:tcPr>
            <w:tcW w:type="dxa" w:w="4252"/>
          </w:tcPr>
          <w:p>
            <w:r/>
            <w:r>
              <w:rPr>
                <w:b w:val="0"/>
                <w:sz w:val="19"/>
              </w:rPr>
              <w:t>repo:usuario/tiendaonline:ref:refs/heads/main</w:t>
            </w:r>
          </w:p>
        </w:tc>
        <w:tc>
          <w:tcPr>
            <w:tcW w:type="dxa" w:w="2551"/>
          </w:tcPr>
          <w:p>
            <w:r/>
            <w:r>
              <w:rPr>
                <w:b w:val="0"/>
                <w:sz w:val="19"/>
              </w:rPr>
              <w:t>Entra</w:t>
            </w:r>
          </w:p>
        </w:tc>
      </w:tr>
      <w:tr>
        <w:tc>
          <w:tcPr>
            <w:tcW w:type="dxa" w:w="2835"/>
          </w:tcPr>
          <w:p>
            <w:r/>
            <w:r>
              <w:rPr>
                <w:b/>
                <w:sz w:val="19"/>
              </w:rPr>
              <w:t>Tu pipeline, otra rama</w:t>
            </w:r>
          </w:p>
        </w:tc>
        <w:tc>
          <w:tcPr>
            <w:tcW w:type="dxa" w:w="4252"/>
          </w:tcPr>
          <w:p>
            <w:r/>
            <w:r>
              <w:rPr>
                <w:b w:val="0"/>
                <w:sz w:val="19"/>
              </w:rPr>
              <w:t>…:ref:refs/heads/pruebas</w:t>
            </w:r>
          </w:p>
        </w:tc>
        <w:tc>
          <w:tcPr>
            <w:tcW w:type="dxa" w:w="2551"/>
          </w:tcPr>
          <w:p>
            <w:r/>
            <w:r>
              <w:rPr>
                <w:b w:val="0"/>
                <w:sz w:val="19"/>
              </w:rPr>
              <w:t>Rechazado: no es main</w:t>
            </w:r>
          </w:p>
        </w:tc>
      </w:tr>
      <w:tr>
        <w:tc>
          <w:tcPr>
            <w:tcW w:type="dxa" w:w="2835"/>
          </w:tcPr>
          <w:p>
            <w:r/>
            <w:r>
              <w:rPr>
                <w:b/>
                <w:sz w:val="19"/>
              </w:rPr>
              <w:t>Otro grupo con tu ARN copiado</w:t>
            </w:r>
          </w:p>
        </w:tc>
        <w:tc>
          <w:tcPr>
            <w:tcW w:type="dxa" w:w="4252"/>
          </w:tcPr>
          <w:p>
            <w:r/>
            <w:r>
              <w:rPr>
                <w:b w:val="0"/>
                <w:sz w:val="19"/>
              </w:rPr>
              <w:t>repo:otrousuario/tiendaonline:…</w:t>
            </w:r>
          </w:p>
        </w:tc>
        <w:tc>
          <w:tcPr>
            <w:tcW w:type="dxa" w:w="2551"/>
          </w:tcPr>
          <w:p>
            <w:r/>
            <w:r>
              <w:rPr>
                <w:b w:val="0"/>
                <w:sz w:val="19"/>
              </w:rPr>
              <w:t>Rechazado: no es tu repositorio</w:t>
            </w:r>
          </w:p>
        </w:tc>
      </w:tr>
    </w:tbl>
    <w:p>
      <w:pPr>
        <w:spacing w:after="80"/>
      </w:pPr>
    </w:p>
    <w:p>
      <w:pPr>
        <w:spacing w:after="80"/>
      </w:pPr>
      <w:r>
        <w:rPr>
          <w:b w:val="0"/>
          <w:i w:val="0"/>
        </w:rPr>
        <w:t>Dónde verlo: IAM → Identity providers (token.actions.githubusercontent.com) e IAM → Roles → urponline-github-deploy-tiendaonline → Trust relationships.</w:t>
      </w:r>
    </w:p>
    <w:p>
      <w:pPr>
        <w:spacing w:after="80"/>
      </w:pPr>
      <w:r>
        <w:rPr>
          <w:b w:val="0"/>
          <w:i/>
          <w:color w:val="55595E"/>
        </w:rPr>
        <w:t>Punto débil a conocer: el rol del laboratorio tiene AdministratorAccess. Es cómodo para aprender, pero no es mínimo privilegio.</w:t>
      </w:r>
    </w:p>
    <w:p>
      <w:r>
        <w:br w:type="page"/>
      </w:r>
    </w:p>
    <w:p>
      <w:pPr>
        <w:pStyle w:val="Heading1"/>
      </w:pPr>
      <w:r>
        <w:t>Anexo B: comandos para la caída de servidor y de zona (indicadores 1c a 1e)</w:t>
      </w:r>
    </w:p>
    <w:p>
      <w:pPr>
        <w:spacing w:after="120"/>
      </w:pPr>
      <w:r>
        <w:rPr>
          <w:b w:val="0"/>
          <w:i w:val="0"/>
          <w:color w:val="55595E"/>
        </w:rPr>
        <w:t>Se ejecutan en AWS CloudShell (región us-east-2) con la pila desplegada. Tener abiertos la tienda y el dashboard.</w:t>
      </w:r>
    </w:p>
    <w:p>
      <w:pPr>
        <w:pStyle w:val="Heading2"/>
      </w:pPr>
      <w:r>
        <w:t>Paso 0: variables</w:t>
      </w:r>
    </w:p>
    <w:p>
      <w:pPr>
        <w:spacing w:after="0"/>
        <w:ind w:left="227"/>
      </w:pPr>
      <w:r>
        <w:rPr>
          <w:rFonts w:ascii="Consolas" w:hAnsi="Consolas" w:eastAsia="Consolas"/>
          <w:sz w:val="17"/>
        </w:rPr>
        <w:t>STACK=URPOnlineLab</w:t>
      </w:r>
    </w:p>
    <w:p>
      <w:pPr>
        <w:spacing w:after="0"/>
        <w:ind w:left="227"/>
      </w:pPr>
      <w:r>
        <w:rPr>
          <w:rFonts w:ascii="Consolas" w:hAnsi="Consolas" w:eastAsia="Consolas"/>
          <w:sz w:val="17"/>
        </w:rPr>
        <w:t>VPC=$(aws cloudformation describe-stacks --stack-name $STACK --query "Stacks[0].Outputs[?OutputKey=='VpcId'].OutputValue" --output text)</w:t>
      </w:r>
    </w:p>
    <w:p>
      <w:pPr>
        <w:spacing w:after="0"/>
        <w:ind w:left="227"/>
      </w:pPr>
      <w:r>
        <w:rPr>
          <w:rFonts w:ascii="Consolas" w:hAnsi="Consolas" w:eastAsia="Consolas"/>
          <w:sz w:val="17"/>
        </w:rPr>
        <w:t>aws ec2 describe-instances --filters Name=vpc-id,Values=$VPC Name=instance-state-name,Values=running \</w:t>
      </w:r>
    </w:p>
    <w:p>
      <w:pPr>
        <w:spacing w:after="0"/>
        <w:ind w:left="227"/>
      </w:pPr>
      <w:r>
        <w:rPr>
          <w:rFonts w:ascii="Consolas" w:hAnsi="Consolas" w:eastAsia="Consolas"/>
          <w:sz w:val="17"/>
        </w:rPr>
        <w:t xml:space="preserve">  --query "Reservations[].Instances[].[InstanceId,Placement.AvailabilityZone]" --output table</w:t>
      </w:r>
    </w:p>
    <w:p>
      <w:pPr>
        <w:spacing w:after="120"/>
      </w:pPr>
    </w:p>
    <w:p>
      <w:pPr>
        <w:pStyle w:val="Heading2"/>
      </w:pPr>
      <w:r>
        <w:t>Paso 1: cae un servidor (1c)</w:t>
      </w:r>
    </w:p>
    <w:p>
      <w:pPr>
        <w:spacing w:after="0"/>
        <w:ind w:left="227"/>
      </w:pPr>
      <w:r>
        <w:rPr>
          <w:rFonts w:ascii="Consolas" w:hAnsi="Consolas" w:eastAsia="Consolas"/>
          <w:sz w:val="17"/>
        </w:rPr>
        <w:t>aws ec2 terminate-instances --instance-ids &lt;id-de-una-instancia&gt;</w:t>
      </w:r>
    </w:p>
    <w:p>
      <w:pPr>
        <w:spacing w:after="120"/>
      </w:pPr>
    </w:p>
    <w:p>
      <w:pPr>
        <w:pStyle w:val="Heading2"/>
      </w:pPr>
      <w:r>
        <w:t>Paso 2: cae la zona A (1d)</w:t>
      </w:r>
    </w:p>
    <w:p>
      <w:pPr>
        <w:spacing w:after="0"/>
        <w:ind w:left="227"/>
      </w:pPr>
      <w:r>
        <w:rPr>
          <w:rFonts w:ascii="Consolas" w:hAnsi="Consolas" w:eastAsia="Consolas"/>
          <w:sz w:val="17"/>
        </w:rPr>
        <w:t>SUBNET_A=$(aws ec2 describe-subnets --filters Name=vpc-id,Values=$VPC Name=cidr-block,Values=10.0.11.0/24 --query "Subnets[0].SubnetId" --output text)</w:t>
      </w:r>
    </w:p>
    <w:p>
      <w:pPr>
        <w:spacing w:after="0"/>
        <w:ind w:left="227"/>
      </w:pPr>
      <w:r>
        <w:rPr>
          <w:rFonts w:ascii="Consolas" w:hAnsi="Consolas" w:eastAsia="Consolas"/>
          <w:sz w:val="17"/>
        </w:rPr>
        <w:t>ORIGINAL=$(aws ec2 describe-network-acls --filters Name=association.subnet-id,Values=$SUBNET_A --query "NetworkAcls[0].NetworkAclId" --output text)</w:t>
      </w:r>
    </w:p>
    <w:p>
      <w:pPr>
        <w:spacing w:after="0"/>
        <w:ind w:left="227"/>
      </w:pPr>
      <w:r>
        <w:rPr>
          <w:rFonts w:ascii="Consolas" w:hAnsi="Consolas" w:eastAsia="Consolas"/>
          <w:sz w:val="17"/>
        </w:rPr>
        <w:t>ASOC=$(aws ec2 describe-network-acls --filters Name=association.subnet-id,Values=$SUBNET_A \</w:t>
      </w:r>
    </w:p>
    <w:p>
      <w:pPr>
        <w:spacing w:after="0"/>
        <w:ind w:left="227"/>
      </w:pPr>
      <w:r>
        <w:rPr>
          <w:rFonts w:ascii="Consolas" w:hAnsi="Consolas" w:eastAsia="Consolas"/>
          <w:sz w:val="17"/>
        </w:rPr>
        <w:t xml:space="preserve">  --query "NetworkAcls[0].Associations[?SubnetId=='$SUBNET_A'].NetworkAclAssociationId" --output text)</w:t>
      </w:r>
    </w:p>
    <w:p>
      <w:pPr>
        <w:spacing w:after="0"/>
        <w:ind w:left="227"/>
      </w:pPr>
      <w:r>
        <w:rPr>
          <w:rFonts w:ascii="Consolas" w:hAnsi="Consolas" w:eastAsia="Consolas"/>
          <w:sz w:val="17"/>
        </w:rPr>
        <w:t>CAIDA=$(aws ec2 create-network-acl --vpc-id $VPC --query NetworkAcl.NetworkAclId --output text)</w:t>
      </w:r>
    </w:p>
    <w:p>
      <w:pPr>
        <w:spacing w:after="0"/>
        <w:ind w:left="227"/>
      </w:pPr>
      <w:r>
        <w:rPr>
          <w:rFonts w:ascii="Consolas" w:hAnsi="Consolas" w:eastAsia="Consolas"/>
          <w:sz w:val="17"/>
        </w:rPr>
        <w:t>NUEVA=$(aws ec2 replace-network-acl-association --association-id $ASOC --network-acl-id $CAIDA --query NewAssociationId --output text)</w:t>
      </w:r>
    </w:p>
    <w:p>
      <w:pPr>
        <w:spacing w:after="120"/>
      </w:pPr>
    </w:p>
    <w:p>
      <w:pPr>
        <w:spacing w:after="40"/>
      </w:pPr>
      <w:r>
        <w:rPr>
          <w:b w:val="0"/>
          <w:i w:val="0"/>
        </w:rPr>
        <w:t>Failover de Redis:</w:t>
      </w:r>
    </w:p>
    <w:p>
      <w:pPr>
        <w:spacing w:after="0"/>
        <w:ind w:left="227"/>
      </w:pPr>
      <w:r>
        <w:rPr>
          <w:rFonts w:ascii="Consolas" w:hAnsi="Consolas" w:eastAsia="Consolas"/>
          <w:sz w:val="17"/>
        </w:rPr>
        <w:t>RG=$(aws elasticache describe-replication-groups --query "ReplicationGroups[?contains(ReplicationGroupId,'urp')].ReplicationGroupId | [0]" --output text)</w:t>
      </w:r>
    </w:p>
    <w:p>
      <w:pPr>
        <w:spacing w:after="0"/>
        <w:ind w:left="227"/>
      </w:pPr>
      <w:r>
        <w:rPr>
          <w:rFonts w:ascii="Consolas" w:hAnsi="Consolas" w:eastAsia="Consolas"/>
          <w:sz w:val="17"/>
        </w:rPr>
        <w:t>aws elasticache test-failover --replication-group-id $RG --node-group-id 0001</w:t>
      </w:r>
    </w:p>
    <w:p>
      <w:pPr>
        <w:spacing w:after="120"/>
      </w:pPr>
    </w:p>
    <w:p>
      <w:pPr>
        <w:spacing w:after="120"/>
      </w:pPr>
      <w:r>
        <w:rPr>
          <w:b w:val="0"/>
          <w:i w:val="0"/>
          <w:color w:val="55595E"/>
        </w:rPr>
        <w:t>Es normal que Auto Scaling intente reemplazar la instancia aislada: también es parte de lo que se observa.</w:t>
      </w:r>
    </w:p>
    <w:p>
      <w:pPr>
        <w:pStyle w:val="Heading2"/>
      </w:pPr>
      <w:r>
        <w:t>Paso 3: evidencia (1e)</w:t>
      </w:r>
    </w:p>
    <w:p>
      <w:pPr>
        <w:spacing w:after="40"/>
      </w:pPr>
      <w:r>
        <w:rPr>
          <w:b w:val="0"/>
          <w:i w:val="0"/>
        </w:rPr>
        <w:t>CloudWatch → Logs Insights → grupo /urponline/URPOnlineLab/nginx-access (cada log stream es una instancia):</w:t>
      </w:r>
    </w:p>
    <w:p>
      <w:pPr>
        <w:spacing w:after="0"/>
        <w:ind w:left="227"/>
      </w:pPr>
      <w:r>
        <w:rPr>
          <w:rFonts w:ascii="Consolas" w:hAnsi="Consolas" w:eastAsia="Consolas"/>
          <w:sz w:val="17"/>
        </w:rPr>
        <w:t>stats count() as peticiones by bin(1m), @logStream | sort bin(1m) desc</w:t>
      </w:r>
    </w:p>
    <w:p>
      <w:pPr>
        <w:spacing w:after="120"/>
      </w:pPr>
    </w:p>
    <w:p>
      <w:pPr>
        <w:spacing w:after="120"/>
      </w:pPr>
      <w:r>
        <w:rPr>
          <w:b w:val="0"/>
          <w:i w:val="0"/>
        </w:rPr>
        <w:t>VPC → Reachability Analyzer → Create and analyze path (≈0,10 USD por análisis): origen, la interfaz del ALB en la subred pública de la zona A (descripción «ELB app/…»); destino, la EC2 de la zona A; puerto 80. Repetir con la zona B.</w:t>
      </w:r>
    </w:p>
    <w:p>
      <w:pPr>
        <w:pStyle w:val="Heading2"/>
      </w:pPr>
      <w:r>
        <w:t>Paso 4: restaurar (obligatorio)</w:t>
      </w:r>
    </w:p>
    <w:p>
      <w:pPr>
        <w:spacing w:after="0"/>
        <w:ind w:left="227"/>
      </w:pPr>
      <w:r>
        <w:rPr>
          <w:rFonts w:ascii="Consolas" w:hAnsi="Consolas" w:eastAsia="Consolas"/>
          <w:sz w:val="17"/>
        </w:rPr>
        <w:t>aws ec2 replace-network-acl-association --association-id $NUEVA --network-acl-id $ORIGINAL</w:t>
      </w:r>
    </w:p>
    <w:p>
      <w:pPr>
        <w:spacing w:after="0"/>
        <w:ind w:left="227"/>
      </w:pPr>
      <w:r>
        <w:rPr>
          <w:rFonts w:ascii="Consolas" w:hAnsi="Consolas" w:eastAsia="Consolas"/>
          <w:sz w:val="17"/>
        </w:rPr>
        <w:t>aws ec2 delete-network-acl --network-acl-id $CAIDA</w:t>
      </w:r>
    </w:p>
    <w:p>
      <w:pPr>
        <w:spacing w:after="120"/>
      </w:pPr>
    </w:p>
    <w:p>
      <w:r>
        <w:br w:type="page"/>
      </w:r>
    </w:p>
    <w:p>
      <w:pPr>
        <w:pStyle w:val="Heading1"/>
      </w:pPr>
      <w:r>
        <w:t>Anexo C: prueba de carga con k6, con y sin PgBouncer (indicadores 2b y 2c)</w:t>
      </w:r>
    </w:p>
    <w:p>
      <w:pPr>
        <w:pStyle w:val="Heading2"/>
      </w:pPr>
      <w:r>
        <w:t>Qué se necesita</w:t>
      </w:r>
    </w:p>
    <w:tbl>
      <w:tblPr>
        <w:tblStyle w:val="TableGrid"/>
        <w:tblW w:type="auto" w:w="0"/>
        <w:jc w:val="center"/>
        <w:tblLook w:firstColumn="1" w:firstRow="1" w:lastColumn="0" w:lastRow="0" w:noHBand="0" w:noVBand="1" w:val="04A0"/>
      </w:tblPr>
      <w:tblGrid>
        <w:gridCol w:w="4819"/>
        <w:gridCol w:w="4819"/>
      </w:tblGrid>
      <w:tr>
        <w:tc>
          <w:tcPr>
            <w:tcW w:type="dxa" w:w="4535"/>
            <w:shd w:val="clear" w:color="auto" w:fill="0B5CAD"/>
          </w:tcPr>
          <w:p>
            <w:r/>
            <w:r>
              <w:rPr>
                <w:b/>
                <w:color w:val="FFFFFF"/>
                <w:sz w:val="19"/>
              </w:rPr>
              <w:t>Requisito</w:t>
            </w:r>
          </w:p>
        </w:tc>
        <w:tc>
          <w:tcPr>
            <w:tcW w:type="dxa" w:w="5102"/>
            <w:shd w:val="clear" w:color="auto" w:fill="0B5CAD"/>
          </w:tcPr>
          <w:p>
            <w:r/>
            <w:r>
              <w:rPr>
                <w:b/>
                <w:color w:val="FFFFFF"/>
                <w:sz w:val="19"/>
              </w:rPr>
              <w:t>Para qué</w:t>
            </w:r>
          </w:p>
        </w:tc>
      </w:tr>
      <w:tr>
        <w:tc>
          <w:tcPr>
            <w:tcW w:type="dxa" w:w="4535"/>
          </w:tcPr>
          <w:p>
            <w:r/>
            <w:r>
              <w:rPr>
                <w:b w:val="0"/>
                <w:sz w:val="19"/>
              </w:rPr>
              <w:t>La tienda desplegada sin PgBouncer (versión base)</w:t>
            </w:r>
          </w:p>
        </w:tc>
        <w:tc>
          <w:tcPr>
            <w:tcW w:type="dxa" w:w="5102"/>
          </w:tcPr>
          <w:p>
            <w:r/>
            <w:r>
              <w:rPr>
                <w:b w:val="0"/>
                <w:sz w:val="19"/>
              </w:rPr>
              <w:t>Primera medición: la línea base</w:t>
            </w:r>
          </w:p>
        </w:tc>
      </w:tr>
      <w:tr>
        <w:tc>
          <w:tcPr>
            <w:tcW w:type="dxa" w:w="4535"/>
          </w:tcPr>
          <w:p>
            <w:r/>
            <w:r>
              <w:rPr>
                <w:b w:val="0"/>
                <w:sz w:val="19"/>
              </w:rPr>
              <w:t>La tienda desplegada con PgBouncer (después del indicador 2a)</w:t>
            </w:r>
          </w:p>
        </w:tc>
        <w:tc>
          <w:tcPr>
            <w:tcW w:type="dxa" w:w="5102"/>
          </w:tcPr>
          <w:p>
            <w:r/>
            <w:r>
              <w:rPr>
                <w:b w:val="0"/>
                <w:sz w:val="19"/>
              </w:rPr>
              <w:t>Segunda medición</w:t>
            </w:r>
          </w:p>
        </w:tc>
      </w:tr>
      <w:tr>
        <w:tc>
          <w:tcPr>
            <w:tcW w:type="dxa" w:w="4535"/>
          </w:tcPr>
          <w:p>
            <w:r/>
            <w:r>
              <w:rPr>
                <w:b w:val="0"/>
                <w:sz w:val="19"/>
              </w:rPr>
              <w:t>AWS CloudShell</w:t>
            </w:r>
          </w:p>
        </w:tc>
        <w:tc>
          <w:tcPr>
            <w:tcW w:type="dxa" w:w="5102"/>
          </w:tcPr>
          <w:p>
            <w:r/>
            <w:r>
              <w:rPr>
                <w:b w:val="0"/>
                <w:sz w:val="19"/>
              </w:rPr>
              <w:t>Desde ahí corre k6; la carga sale desde la red de AWS</w:t>
            </w:r>
          </w:p>
        </w:tc>
      </w:tr>
      <w:tr>
        <w:tc>
          <w:tcPr>
            <w:tcW w:type="dxa" w:w="4535"/>
          </w:tcPr>
          <w:p>
            <w:r/>
            <w:r>
              <w:rPr>
                <w:b w:val="0"/>
                <w:sz w:val="19"/>
              </w:rPr>
              <w:t>k6</w:t>
            </w:r>
          </w:p>
        </w:tc>
        <w:tc>
          <w:tcPr>
            <w:tcW w:type="dxa" w:w="5102"/>
          </w:tcPr>
          <w:p>
            <w:r/>
            <w:r>
              <w:rPr>
                <w:b w:val="0"/>
                <w:sz w:val="19"/>
              </w:rPr>
              <w:t>Genera los usuarios simulados</w:t>
            </w:r>
          </w:p>
        </w:tc>
      </w:tr>
      <w:tr>
        <w:tc>
          <w:tcPr>
            <w:tcW w:type="dxa" w:w="4535"/>
          </w:tcPr>
          <w:p>
            <w:r/>
            <w:r>
              <w:rPr>
                <w:b w:val="0"/>
                <w:sz w:val="19"/>
              </w:rPr>
              <w:t>El dashboard de CloudWatch</w:t>
            </w:r>
          </w:p>
        </w:tc>
        <w:tc>
          <w:tcPr>
            <w:tcW w:type="dxa" w:w="5102"/>
          </w:tcPr>
          <w:p>
            <w:r/>
            <w:r>
              <w:rPr>
                <w:b w:val="0"/>
                <w:sz w:val="19"/>
              </w:rPr>
              <w:t>Muestra la evidencia</w:t>
            </w:r>
          </w:p>
        </w:tc>
      </w:tr>
    </w:tbl>
    <w:p>
      <w:pPr>
        <w:spacing w:after="80"/>
      </w:pPr>
    </w:p>
    <w:p>
      <w:pPr>
        <w:spacing w:after="160"/>
      </w:pPr>
      <w:r>
        <w:rPr>
          <w:b/>
          <w:i w:val="0"/>
          <w:color w:val="B42318"/>
        </w:rPr>
        <w:t>Orden obligatorio: primero se mide la versión base, ANTES de instalar PgBouncer. Luego se instala PgBouncer con el pipeline y se repite exactamente la misma prueba. Si se instala PgBouncer primero, no hay con qué comparar.</w:t>
      </w:r>
    </w:p>
    <w:p>
      <w:pPr>
        <w:pStyle w:val="Heading2"/>
      </w:pPr>
      <w:r>
        <w:t>Paso 1: instalar k6 en CloudShell</w:t>
      </w:r>
    </w:p>
    <w:p>
      <w:pPr>
        <w:spacing w:after="0"/>
        <w:ind w:left="227"/>
      </w:pPr>
      <w:r>
        <w:rPr>
          <w:rFonts w:ascii="Consolas" w:hAnsi="Consolas" w:eastAsia="Consolas"/>
          <w:sz w:val="17"/>
        </w:rPr>
        <w:t>curl -sL https://github.com/grafana/k6/releases/download/v0.54.0/k6-v0.54.0-linux-amd64.tar.gz | tar xz</w:t>
      </w:r>
    </w:p>
    <w:p>
      <w:pPr>
        <w:spacing w:after="0"/>
        <w:ind w:left="227"/>
      </w:pPr>
      <w:r>
        <w:rPr>
          <w:rFonts w:ascii="Consolas" w:hAnsi="Consolas" w:eastAsia="Consolas"/>
          <w:sz w:val="17"/>
        </w:rPr>
        <w:t>mv k6-v0.54.0-linux-amd64/k6 ~/k6 &amp;&amp; ~/k6 version</w:t>
      </w:r>
    </w:p>
    <w:p>
      <w:pPr>
        <w:spacing w:after="120"/>
      </w:pPr>
    </w:p>
    <w:p>
      <w:pPr>
        <w:pStyle w:val="Heading2"/>
      </w:pPr>
      <w:r>
        <w:t>Paso 2: el script de carga (pruebas/carga.js, guardado en el repositorio)</w:t>
      </w:r>
    </w:p>
    <w:p>
      <w:pPr>
        <w:spacing w:after="40"/>
      </w:pPr>
      <w:r>
        <w:rPr>
          <w:b w:val="0"/>
          <w:i w:val="0"/>
        </w:rPr>
        <w:t>Cada usuario simulado entra a la portada, busca y ve resultados. La carga sube por etapas hasta saturar la base:</w:t>
      </w:r>
    </w:p>
    <w:p>
      <w:pPr>
        <w:spacing w:after="0"/>
        <w:ind w:left="227"/>
      </w:pPr>
      <w:r>
        <w:rPr>
          <w:rFonts w:ascii="Consolas" w:hAnsi="Consolas" w:eastAsia="Consolas"/>
          <w:sz w:val="17"/>
        </w:rPr>
        <w:t>import http from 'k6/http';</w:t>
      </w:r>
    </w:p>
    <w:p>
      <w:pPr>
        <w:spacing w:after="0"/>
        <w:ind w:left="227"/>
      </w:pPr>
      <w:r>
        <w:rPr>
          <w:rFonts w:ascii="Consolas" w:hAnsi="Consolas" w:eastAsia="Consolas"/>
          <w:sz w:val="17"/>
        </w:rPr>
        <w:t>import { sleep, check } from 'k6';</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const URL = __ENV.URL;   // la URL de CloudFront, se pasa al ejecutar</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export const options = {</w:t>
      </w:r>
    </w:p>
    <w:p>
      <w:pPr>
        <w:spacing w:after="0"/>
        <w:ind w:left="227"/>
      </w:pPr>
      <w:r>
        <w:rPr>
          <w:rFonts w:ascii="Consolas" w:hAnsi="Consolas" w:eastAsia="Consolas"/>
          <w:sz w:val="17"/>
        </w:rPr>
        <w:t xml:space="preserve">  stages: [</w:t>
      </w:r>
    </w:p>
    <w:p>
      <w:pPr>
        <w:spacing w:after="0"/>
        <w:ind w:left="227"/>
      </w:pPr>
      <w:r>
        <w:rPr>
          <w:rFonts w:ascii="Consolas" w:hAnsi="Consolas" w:eastAsia="Consolas"/>
          <w:sz w:val="17"/>
        </w:rPr>
        <w:t xml:space="preserve">    { duration: '1m', target: 50 },    // sube a 50 usuarios</w:t>
      </w:r>
    </w:p>
    <w:p>
      <w:pPr>
        <w:spacing w:after="0"/>
        <w:ind w:left="227"/>
      </w:pPr>
      <w:r>
        <w:rPr>
          <w:rFonts w:ascii="Consolas" w:hAnsi="Consolas" w:eastAsia="Consolas"/>
          <w:sz w:val="17"/>
        </w:rPr>
        <w:t xml:space="preserve">    { duration: '1m', target: 200 },   // sube a 200: aquí la base sin PgBouncer debería saturarse</w:t>
      </w:r>
    </w:p>
    <w:p>
      <w:pPr>
        <w:spacing w:after="0"/>
        <w:ind w:left="227"/>
      </w:pPr>
      <w:r>
        <w:rPr>
          <w:rFonts w:ascii="Consolas" w:hAnsi="Consolas" w:eastAsia="Consolas"/>
          <w:sz w:val="17"/>
        </w:rPr>
        <w:t xml:space="preserve">    { duration: '2m30s', target: 200 },// se mantiene</w:t>
      </w:r>
    </w:p>
    <w:p>
      <w:pPr>
        <w:spacing w:after="0"/>
        <w:ind w:left="227"/>
      </w:pPr>
      <w:r>
        <w:rPr>
          <w:rFonts w:ascii="Consolas" w:hAnsi="Consolas" w:eastAsia="Consolas"/>
          <w:sz w:val="17"/>
        </w:rPr>
        <w:t xml:space="preserve">    { duration: '30s', target: 0 },    // baja   (total: 5 minutos)</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export default function () {</w:t>
      </w:r>
    </w:p>
    <w:p>
      <w:pPr>
        <w:spacing w:after="0"/>
        <w:ind w:left="227"/>
      </w:pPr>
      <w:r>
        <w:rPr>
          <w:rFonts w:ascii="Consolas" w:hAnsi="Consolas" w:eastAsia="Consolas"/>
          <w:sz w:val="17"/>
        </w:rPr>
        <w:t xml:space="preserve">  const r1 = http.get(`${URL}/`);</w:t>
      </w:r>
    </w:p>
    <w:p>
      <w:pPr>
        <w:spacing w:after="0"/>
        <w:ind w:left="227"/>
      </w:pPr>
      <w:r>
        <w:rPr>
          <w:rFonts w:ascii="Consolas" w:hAnsi="Consolas" w:eastAsia="Consolas"/>
          <w:sz w:val="17"/>
        </w:rPr>
        <w:t xml:space="preserve">  check(r1, { 'portada 200': (r) =&gt; r.status === 200 });</w:t>
      </w:r>
    </w:p>
    <w:p>
      <w:pPr>
        <w:spacing w:after="0"/>
        <w:ind w:left="227"/>
      </w:pPr>
      <w:r>
        <w:rPr>
          <w:rFonts w:ascii="Consolas" w:hAnsi="Consolas" w:eastAsia="Consolas"/>
          <w:sz w:val="17"/>
        </w:rPr>
        <w:t xml:space="preserve">  const r2 = http.get(`${URL}/?q=libro de programacion`);</w:t>
      </w:r>
    </w:p>
    <w:p>
      <w:pPr>
        <w:spacing w:after="0"/>
        <w:ind w:left="227"/>
      </w:pPr>
      <w:r>
        <w:rPr>
          <w:rFonts w:ascii="Consolas" w:hAnsi="Consolas" w:eastAsia="Consolas"/>
          <w:sz w:val="17"/>
        </w:rPr>
        <w:t xml:space="preserve">  check(r2, { 'busqueda 200': (r) =&gt; r.status === 200 });</w:t>
      </w:r>
    </w:p>
    <w:p>
      <w:pPr>
        <w:spacing w:after="0"/>
        <w:ind w:left="227"/>
      </w:pPr>
      <w:r>
        <w:rPr>
          <w:rFonts w:ascii="Consolas" w:hAnsi="Consolas" w:eastAsia="Consolas"/>
          <w:sz w:val="17"/>
        </w:rPr>
        <w:t xml:space="preserve">  sleep(1);</w:t>
      </w:r>
    </w:p>
    <w:p>
      <w:pPr>
        <w:spacing w:after="0"/>
        <w:ind w:left="227"/>
      </w:pPr>
      <w:r>
        <w:rPr>
          <w:rFonts w:ascii="Consolas" w:hAnsi="Consolas" w:eastAsia="Consolas"/>
          <w:sz w:val="17"/>
        </w:rPr>
        <w:t>}</w:t>
      </w:r>
    </w:p>
    <w:p>
      <w:pPr>
        <w:spacing w:after="120"/>
      </w:pPr>
    </w:p>
    <w:p>
      <w:pPr>
        <w:pStyle w:val="Heading2"/>
      </w:pPr>
      <w:r>
        <w:t>Paso 3: ejecutar y anotar la hora</w:t>
      </w:r>
    </w:p>
    <w:p>
      <w:pPr>
        <w:spacing w:after="0"/>
        <w:ind w:left="227"/>
      </w:pPr>
      <w:r>
        <w:rPr>
          <w:rFonts w:ascii="Consolas" w:hAnsi="Consolas" w:eastAsia="Consolas"/>
          <w:sz w:val="17"/>
        </w:rPr>
        <w:t>date                                   # anotar hora de inicio</w:t>
      </w:r>
    </w:p>
    <w:p>
      <w:pPr>
        <w:spacing w:after="0"/>
        <w:ind w:left="227"/>
      </w:pPr>
      <w:r>
        <w:rPr>
          <w:rFonts w:ascii="Consolas" w:hAnsi="Consolas" w:eastAsia="Consolas"/>
          <w:sz w:val="17"/>
        </w:rPr>
        <w:t>~/k6 run -e URL=https://&lt;tu-distribucion&gt;.cloudfront.net pruebas/carga.js</w:t>
      </w:r>
    </w:p>
    <w:p>
      <w:pPr>
        <w:spacing w:after="0"/>
        <w:ind w:left="227"/>
      </w:pPr>
      <w:r>
        <w:rPr>
          <w:rFonts w:ascii="Consolas" w:hAnsi="Consolas" w:eastAsia="Consolas"/>
          <w:sz w:val="17"/>
        </w:rPr>
        <w:t>date                                   # anotar hora de fin</w:t>
      </w:r>
    </w:p>
    <w:p>
      <w:pPr>
        <w:spacing w:after="120"/>
      </w:pPr>
    </w:p>
    <w:p>
      <w:pPr>
        <w:spacing w:after="120"/>
      </w:pPr>
      <w:r>
        <w:rPr>
          <w:b w:val="0"/>
          <w:i w:val="0"/>
        </w:rPr>
        <w:t>Del resumen final de k6 se copian: http_req_duration → p(95) (tiempo en que respondió el 95 % de las peticiones); http_req_failed → porcentaje de errores; http_reqs → peticiones por segundo.</w:t>
      </w:r>
    </w:p>
    <w:p>
      <w:pPr>
        <w:pStyle w:val="Heading2"/>
      </w:pPr>
      <w:r>
        <w:t>Paso 4: publicar las métricas de PgBouncer en CloudWatch</w:t>
      </w:r>
    </w:p>
    <w:p>
      <w:pPr>
        <w:spacing w:after="40"/>
      </w:pPr>
      <w:r>
        <w:rPr>
          <w:b w:val="0"/>
          <w:i w:val="0"/>
        </w:rPr>
        <w:t>CloudWatch no conoce PgBouncer. En cada EC2 (instalado por el YAML), un script corre cada minuto:</w:t>
      </w:r>
    </w:p>
    <w:p>
      <w:pPr>
        <w:pStyle w:val="ListBullet"/>
        <w:spacing w:after="40"/>
      </w:pPr>
      <w:r>
        <w:t>consulta a PgBouncer con SHOW POOLS;</w:t>
      </w:r>
    </w:p>
    <w:p>
      <w:pPr>
        <w:pStyle w:val="ListBullet"/>
        <w:spacing w:after="40"/>
      </w:pPr>
      <w:r>
        <w:t>toma cl_active (clientes atendidos), cl_waiting (clientes en la fila) y sv_active (conexiones reales a la base);</w:t>
      </w:r>
    </w:p>
    <w:p>
      <w:pPr>
        <w:pStyle w:val="ListBullet"/>
        <w:spacing w:after="40"/>
      </w:pPr>
      <w:r>
        <w:t>los envía con aws cloudwatch put-metric-data al namespace URPOnline. El rol de la EC2 ya tiene permiso para enviar métricas, porque la app ya lo hace.</w:t>
      </w:r>
    </w:p>
    <w:p>
      <w:pPr>
        <w:spacing w:after="80"/>
      </w:pPr>
    </w:p>
    <w:p>
      <w:pPr>
        <w:pStyle w:val="Heading2"/>
      </w:pPr>
      <w:r>
        <w:t>Paso 5: la evidencia en el dashboard</w:t>
      </w:r>
    </w:p>
    <w:p>
      <w:pPr>
        <w:spacing w:after="40"/>
      </w:pPr>
      <w:r>
        <w:rPr>
          <w:b w:val="0"/>
          <w:i w:val="0"/>
        </w:rPr>
        <w:t>Se ajusta el rango de tiempo del dashboard a la hora de cada prueba y se comparan: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81"/>
            <w:shd w:val="clear" w:color="auto" w:fill="0B5CAD"/>
          </w:tcPr>
          <w:p>
            <w:r/>
            <w:r>
              <w:rPr>
                <w:b/>
                <w:color w:val="FFFFFF"/>
                <w:sz w:val="19"/>
              </w:rPr>
              <w:t>Métrica</w:t>
            </w:r>
          </w:p>
        </w:tc>
        <w:tc>
          <w:tcPr>
            <w:tcW w:type="dxa" w:w="1134"/>
            <w:shd w:val="clear" w:color="auto" w:fill="0B5CAD"/>
          </w:tcPr>
          <w:p>
            <w:r/>
            <w:r>
              <w:rPr>
                <w:b/>
                <w:color w:val="FFFFFF"/>
                <w:sz w:val="19"/>
              </w:rPr>
              <w:t>Servicio</w:t>
            </w:r>
          </w:p>
        </w:tc>
        <w:tc>
          <w:tcPr>
            <w:tcW w:type="dxa" w:w="1247"/>
            <w:shd w:val="clear" w:color="auto" w:fill="0B5CAD"/>
          </w:tcPr>
          <w:p>
            <w:r/>
            <w:r>
              <w:rPr>
                <w:b/>
                <w:color w:val="FFFFFF"/>
                <w:sz w:val="19"/>
              </w:rPr>
              <w:t>Estadística</w:t>
            </w:r>
          </w:p>
        </w:tc>
        <w:tc>
          <w:tcPr>
            <w:tcW w:type="dxa" w:w="4876"/>
            <w:shd w:val="clear" w:color="auto" w:fill="0B5CAD"/>
          </w:tcPr>
          <w:p>
            <w:r/>
            <w:r>
              <w:rPr>
                <w:b/>
                <w:color w:val="FFFFFF"/>
                <w:sz w:val="19"/>
              </w:rPr>
              <w:t>Qué se espera ver</w:t>
            </w:r>
          </w:p>
        </w:tc>
      </w:tr>
      <w:tr>
        <w:tc>
          <w:tcPr>
            <w:tcW w:type="dxa" w:w="2381"/>
          </w:tcPr>
          <w:p>
            <w:r/>
            <w:r>
              <w:rPr>
                <w:b/>
                <w:sz w:val="19"/>
              </w:rPr>
              <w:t>DatabaseConnections</w:t>
            </w:r>
          </w:p>
        </w:tc>
        <w:tc>
          <w:tcPr>
            <w:tcW w:type="dxa" w:w="1134"/>
          </w:tcPr>
          <w:p>
            <w:r/>
            <w:r>
              <w:rPr>
                <w:b w:val="0"/>
                <w:sz w:val="19"/>
              </w:rPr>
              <w:t>RDS</w:t>
            </w:r>
          </w:p>
        </w:tc>
        <w:tc>
          <w:tcPr>
            <w:tcW w:type="dxa" w:w="1247"/>
          </w:tcPr>
          <w:p>
            <w:r/>
            <w:r>
              <w:rPr>
                <w:b w:val="0"/>
                <w:sz w:val="19"/>
              </w:rPr>
              <w:t>Máximo</w:t>
            </w:r>
          </w:p>
        </w:tc>
        <w:tc>
          <w:tcPr>
            <w:tcW w:type="dxa" w:w="4876"/>
          </w:tcPr>
          <w:p>
            <w:r/>
            <w:r>
              <w:rPr>
                <w:b w:val="0"/>
                <w:sz w:val="19"/>
              </w:rPr>
              <w:t>Sin PgBouncer sube hasta el límite (~80); con PgBouncer se queda en el tamaño del pool</w:t>
            </w:r>
          </w:p>
        </w:tc>
      </w:tr>
      <w:tr>
        <w:tc>
          <w:tcPr>
            <w:tcW w:type="dxa" w:w="2381"/>
          </w:tcPr>
          <w:p>
            <w:r/>
            <w:r>
              <w:rPr>
                <w:b/>
                <w:sz w:val="19"/>
              </w:rPr>
              <w:t>HTTPCode_Target_5XX_Count</w:t>
            </w:r>
          </w:p>
        </w:tc>
        <w:tc>
          <w:tcPr>
            <w:tcW w:type="dxa" w:w="1134"/>
          </w:tcPr>
          <w:p>
            <w:r/>
            <w:r>
              <w:rPr>
                <w:b w:val="0"/>
                <w:sz w:val="19"/>
              </w:rPr>
              <w:t>ALB</w:t>
            </w:r>
          </w:p>
        </w:tc>
        <w:tc>
          <w:tcPr>
            <w:tcW w:type="dxa" w:w="1247"/>
          </w:tcPr>
          <w:p>
            <w:r/>
            <w:r>
              <w:rPr>
                <w:b w:val="0"/>
                <w:sz w:val="19"/>
              </w:rPr>
              <w:t>Suma</w:t>
            </w:r>
          </w:p>
        </w:tc>
        <w:tc>
          <w:tcPr>
            <w:tcW w:type="dxa" w:w="4876"/>
          </w:tcPr>
          <w:p>
            <w:r/>
            <w:r>
              <w:rPr>
                <w:b w:val="0"/>
                <w:sz w:val="19"/>
              </w:rPr>
              <w:t>Errores sin PgBouncer; cero o casi cero con PgBouncer</w:t>
            </w:r>
          </w:p>
        </w:tc>
      </w:tr>
      <w:tr>
        <w:tc>
          <w:tcPr>
            <w:tcW w:type="dxa" w:w="2381"/>
          </w:tcPr>
          <w:p>
            <w:r/>
            <w:r>
              <w:rPr>
                <w:b/>
                <w:sz w:val="19"/>
              </w:rPr>
              <w:t>TargetResponseTime</w:t>
            </w:r>
          </w:p>
        </w:tc>
        <w:tc>
          <w:tcPr>
            <w:tcW w:type="dxa" w:w="1134"/>
          </w:tcPr>
          <w:p>
            <w:r/>
            <w:r>
              <w:rPr>
                <w:b w:val="0"/>
                <w:sz w:val="19"/>
              </w:rPr>
              <w:t>ALB</w:t>
            </w:r>
          </w:p>
        </w:tc>
        <w:tc>
          <w:tcPr>
            <w:tcW w:type="dxa" w:w="1247"/>
          </w:tcPr>
          <w:p>
            <w:r/>
            <w:r>
              <w:rPr>
                <w:b w:val="0"/>
                <w:sz w:val="19"/>
              </w:rPr>
              <w:t>p95 y p99</w:t>
            </w:r>
          </w:p>
        </w:tc>
        <w:tc>
          <w:tcPr>
            <w:tcW w:type="dxa" w:w="4876"/>
          </w:tcPr>
          <w:p>
            <w:r/>
            <w:r>
              <w:rPr>
                <w:b w:val="0"/>
                <w:sz w:val="19"/>
              </w:rPr>
              <w:t>Sin PgBouncer se dispara; con PgBouncer sube pero estable</w:t>
            </w:r>
          </w:p>
        </w:tc>
      </w:tr>
      <w:tr>
        <w:tc>
          <w:tcPr>
            <w:tcW w:type="dxa" w:w="2381"/>
          </w:tcPr>
          <w:p>
            <w:r/>
            <w:r>
              <w:rPr>
                <w:b/>
                <w:sz w:val="19"/>
              </w:rPr>
              <w:t>CPUUtilization</w:t>
            </w:r>
          </w:p>
        </w:tc>
        <w:tc>
          <w:tcPr>
            <w:tcW w:type="dxa" w:w="1134"/>
          </w:tcPr>
          <w:p>
            <w:r/>
            <w:r>
              <w:rPr>
                <w:b w:val="0"/>
                <w:sz w:val="19"/>
              </w:rPr>
              <w:t>EC2</w:t>
            </w:r>
          </w:p>
        </w:tc>
        <w:tc>
          <w:tcPr>
            <w:tcW w:type="dxa" w:w="1247"/>
          </w:tcPr>
          <w:p>
            <w:r/>
            <w:r>
              <w:rPr>
                <w:b w:val="0"/>
                <w:sz w:val="19"/>
              </w:rPr>
              <w:t>Promedio</w:t>
            </w:r>
          </w:p>
        </w:tc>
        <w:tc>
          <w:tcPr>
            <w:tcW w:type="dxa" w:w="4876"/>
          </w:tcPr>
          <w:p>
            <w:r/>
            <w:r>
              <w:rPr>
                <w:b w:val="0"/>
                <w:sz w:val="19"/>
              </w:rPr>
              <w:t>Las EC2 no están saturadas: el cuello de botella era la base</w:t>
            </w:r>
          </w:p>
        </w:tc>
      </w:tr>
      <w:tr>
        <w:tc>
          <w:tcPr>
            <w:tcW w:type="dxa" w:w="2381"/>
          </w:tcPr>
          <w:p>
            <w:r/>
            <w:r>
              <w:rPr>
                <w:b/>
                <w:sz w:val="19"/>
              </w:rPr>
              <w:t>cl_waiting, sv_active</w:t>
            </w:r>
          </w:p>
        </w:tc>
        <w:tc>
          <w:tcPr>
            <w:tcW w:type="dxa" w:w="1134"/>
          </w:tcPr>
          <w:p>
            <w:r/>
            <w:r>
              <w:rPr>
                <w:b w:val="0"/>
                <w:sz w:val="19"/>
              </w:rPr>
              <w:t>URPOnline</w:t>
            </w:r>
          </w:p>
        </w:tc>
        <w:tc>
          <w:tcPr>
            <w:tcW w:type="dxa" w:w="1247"/>
          </w:tcPr>
          <w:p>
            <w:r/>
            <w:r>
              <w:rPr>
                <w:b w:val="0"/>
                <w:sz w:val="19"/>
              </w:rPr>
              <w:t>Máximo</w:t>
            </w:r>
          </w:p>
        </w:tc>
        <w:tc>
          <w:tcPr>
            <w:tcW w:type="dxa" w:w="4876"/>
          </w:tcPr>
          <w:p>
            <w:r/>
            <w:r>
              <w:rPr>
                <w:b w:val="0"/>
                <w:sz w:val="19"/>
              </w:rPr>
              <w:t>Clientes esperando en la fila con pocas conexiones reales</w:t>
            </w:r>
          </w:p>
        </w:tc>
      </w:tr>
    </w:tbl>
    <w:p>
      <w:pPr>
        <w:spacing w:after="80"/>
      </w:pPr>
    </w:p>
    <w:p>
      <w:pPr>
        <w:spacing w:after="120"/>
      </w:pPr>
      <w:r>
        <w:rPr>
          <w:b w:val="0"/>
          <w:i w:val="0"/>
        </w:rPr>
        <w:t>Además, una alarma (por ejemplo, TargetResponseTime p95 &gt; 1 s durante 3 minutos) debe pasar a ALARM durante la prueba sin PgBouncer. Comprobación cruzada: el p95 de k6 debe parecerse al p95 del ALB; si son muy distintos, algo está mal medido.</w:t>
      </w:r>
    </w:p>
    <w:p>
      <w:pPr>
        <w:pStyle w:val="Heading2"/>
      </w:pPr>
      <w:r>
        <w:t>Paso 6: el resultado que se presenta</w:t>
      </w: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0B5CAD"/>
          </w:tcPr>
          <w:p>
            <w:r/>
            <w:r>
              <w:rPr>
                <w:b/>
                <w:color w:val="FFFFFF"/>
                <w:sz w:val="19"/>
              </w:rPr>
            </w:r>
          </w:p>
        </w:tc>
        <w:tc>
          <w:tcPr>
            <w:tcW w:type="dxa" w:w="2835"/>
            <w:shd w:val="clear" w:color="auto" w:fill="0B5CAD"/>
          </w:tcPr>
          <w:p>
            <w:pPr>
              <w:jc w:val="center"/>
            </w:pPr>
            <w:r/>
            <w:r>
              <w:rPr>
                <w:b/>
                <w:color w:val="FFFFFF"/>
                <w:sz w:val="19"/>
              </w:rPr>
              <w:t>Sin PgBouncer</w:t>
            </w:r>
          </w:p>
        </w:tc>
        <w:tc>
          <w:tcPr>
            <w:tcW w:type="dxa" w:w="2835"/>
            <w:shd w:val="clear" w:color="auto" w:fill="0B5CAD"/>
          </w:tcPr>
          <w:p>
            <w:pPr>
              <w:jc w:val="center"/>
            </w:pPr>
            <w:r/>
            <w:r>
              <w:rPr>
                <w:b/>
                <w:color w:val="FFFFFF"/>
                <w:sz w:val="19"/>
              </w:rPr>
              <w:t>Con PgBouncer</w:t>
            </w:r>
          </w:p>
        </w:tc>
      </w:tr>
      <w:tr>
        <w:tc>
          <w:tcPr>
            <w:tcW w:type="dxa" w:w="3969"/>
          </w:tcPr>
          <w:p>
            <w:r/>
            <w:r>
              <w:rPr>
                <w:b/>
                <w:sz w:val="19"/>
              </w:rPr>
              <w:t>Usuarios simulados (máximo)</w:t>
            </w:r>
          </w:p>
        </w:tc>
        <w:tc>
          <w:tcPr>
            <w:tcW w:type="dxa" w:w="2835"/>
          </w:tcPr>
          <w:p>
            <w:pPr>
              <w:jc w:val="center"/>
            </w:pPr>
            <w:r/>
            <w:r>
              <w:rPr>
                <w:b w:val="0"/>
                <w:sz w:val="19"/>
              </w:rPr>
              <w:t>200</w:t>
            </w:r>
          </w:p>
        </w:tc>
        <w:tc>
          <w:tcPr>
            <w:tcW w:type="dxa" w:w="2835"/>
          </w:tcPr>
          <w:p>
            <w:pPr>
              <w:jc w:val="center"/>
            </w:pPr>
            <w:r/>
            <w:r>
              <w:rPr>
                <w:b w:val="0"/>
                <w:sz w:val="19"/>
              </w:rPr>
              <w:t>200</w:t>
            </w:r>
          </w:p>
        </w:tc>
      </w:tr>
      <w:tr>
        <w:tc>
          <w:tcPr>
            <w:tcW w:type="dxa" w:w="3969"/>
          </w:tcPr>
          <w:p>
            <w:r/>
            <w:r>
              <w:rPr>
                <w:b/>
                <w:sz w:val="19"/>
              </w:rPr>
              <w:t>p95 (k6)</w:t>
            </w:r>
          </w:p>
        </w:tc>
        <w:tc>
          <w:tcPr>
            <w:tcW w:type="dxa" w:w="2835"/>
          </w:tcPr>
          <w:p>
            <w:pPr>
              <w:jc w:val="center"/>
            </w:pPr>
            <w:r/>
            <w:r>
              <w:rPr>
                <w:b w:val="0"/>
                <w:sz w:val="19"/>
              </w:rPr>
            </w:r>
          </w:p>
        </w:tc>
        <w:tc>
          <w:tcPr>
            <w:tcW w:type="dxa" w:w="2835"/>
          </w:tcPr>
          <w:p>
            <w:pPr>
              <w:jc w:val="center"/>
            </w:pPr>
            <w:r/>
            <w:r>
              <w:rPr>
                <w:b w:val="0"/>
                <w:sz w:val="19"/>
              </w:rPr>
            </w:r>
          </w:p>
        </w:tc>
      </w:tr>
      <w:tr>
        <w:tc>
          <w:tcPr>
            <w:tcW w:type="dxa" w:w="3969"/>
          </w:tcPr>
          <w:p>
            <w:r/>
            <w:r>
              <w:rPr>
                <w:b/>
                <w:sz w:val="19"/>
              </w:rPr>
              <w:t>% de errores (k6)</w:t>
            </w:r>
          </w:p>
        </w:tc>
        <w:tc>
          <w:tcPr>
            <w:tcW w:type="dxa" w:w="2835"/>
          </w:tcPr>
          <w:p>
            <w:pPr>
              <w:jc w:val="center"/>
            </w:pPr>
            <w:r/>
            <w:r>
              <w:rPr>
                <w:b w:val="0"/>
                <w:sz w:val="19"/>
              </w:rPr>
            </w:r>
          </w:p>
        </w:tc>
        <w:tc>
          <w:tcPr>
            <w:tcW w:type="dxa" w:w="2835"/>
          </w:tcPr>
          <w:p>
            <w:pPr>
              <w:jc w:val="center"/>
            </w:pPr>
            <w:r/>
            <w:r>
              <w:rPr>
                <w:b w:val="0"/>
                <w:sz w:val="19"/>
              </w:rPr>
            </w:r>
          </w:p>
        </w:tc>
      </w:tr>
      <w:tr>
        <w:tc>
          <w:tcPr>
            <w:tcW w:type="dxa" w:w="3969"/>
          </w:tcPr>
          <w:p>
            <w:r/>
            <w:r>
              <w:rPr>
                <w:b/>
                <w:sz w:val="19"/>
              </w:rPr>
              <w:t>Conexiones máximas a RDS</w:t>
            </w:r>
          </w:p>
        </w:tc>
        <w:tc>
          <w:tcPr>
            <w:tcW w:type="dxa" w:w="2835"/>
          </w:tcPr>
          <w:p>
            <w:pPr>
              <w:jc w:val="center"/>
            </w:pPr>
            <w:r/>
            <w:r>
              <w:rPr>
                <w:b w:val="0"/>
                <w:sz w:val="19"/>
              </w:rPr>
            </w:r>
          </w:p>
        </w:tc>
        <w:tc>
          <w:tcPr>
            <w:tcW w:type="dxa" w:w="2835"/>
          </w:tcPr>
          <w:p>
            <w:pPr>
              <w:jc w:val="center"/>
            </w:pPr>
            <w:r/>
            <w:r>
              <w:rPr>
                <w:b w:val="0"/>
                <w:sz w:val="19"/>
              </w:rPr>
            </w:r>
          </w:p>
        </w:tc>
      </w:tr>
      <w:tr>
        <w:tc>
          <w:tcPr>
            <w:tcW w:type="dxa" w:w="3969"/>
          </w:tcPr>
          <w:p>
            <w:r/>
            <w:r>
              <w:rPr>
                <w:b/>
                <w:sz w:val="19"/>
              </w:rPr>
              <w:t>Errores 5xx (ALB)</w:t>
            </w:r>
          </w:p>
        </w:tc>
        <w:tc>
          <w:tcPr>
            <w:tcW w:type="dxa" w:w="2835"/>
          </w:tcPr>
          <w:p>
            <w:pPr>
              <w:jc w:val="center"/>
            </w:pPr>
            <w:r/>
            <w:r>
              <w:rPr>
                <w:b w:val="0"/>
                <w:sz w:val="19"/>
              </w:rPr>
            </w:r>
          </w:p>
        </w:tc>
        <w:tc>
          <w:tcPr>
            <w:tcW w:type="dxa" w:w="2835"/>
          </w:tcPr>
          <w:p>
            <w:pPr>
              <w:jc w:val="center"/>
            </w:pPr>
            <w:r/>
            <w:r>
              <w:rPr>
                <w:b w:val="0"/>
                <w:sz w:val="19"/>
              </w:rPr>
            </w:r>
          </w:p>
        </w:tc>
      </w:tr>
    </w:tbl>
    <w:p>
      <w:pPr>
        <w:spacing w:after="80"/>
      </w:pPr>
    </w:p>
    <w:p>
      <w:pPr>
        <w:pStyle w:val="Heading2"/>
      </w:pPr>
      <w:r>
        <w:t>Paso 7: la interpretación (obligatoria)</w:t>
      </w:r>
    </w:p>
    <w:p>
      <w:pPr>
        <w:spacing w:after="40"/>
      </w:pPr>
      <w:r>
        <w:rPr>
          <w:b w:val="0"/>
          <w:i w:val="0"/>
        </w:rPr>
        <w:t>Los números solos no alcanzan. El grupo explica, en el video y en la presentación, apoyándose en las gráficas:</w:t>
      </w:r>
    </w:p>
    <w:p>
      <w:pPr>
        <w:pStyle w:val="ListBullet"/>
        <w:spacing w:after="40"/>
      </w:pPr>
      <w:r>
        <w:t>¿Dónde estaba el cuello de botella y con qué métrica lo prueban? (por ejemplo: CPU de las EC2 baja, pero DatabaseConnections en el límite)</w:t>
      </w:r>
    </w:p>
    <w:p>
      <w:pPr>
        <w:pStyle w:val="ListBullet"/>
        <w:spacing w:after="40"/>
      </w:pPr>
      <w:r>
        <w:t>¿Qué cambió con PgBouncer y por qué? (menos conexiones reales a la base, los clientes esperan en la fila en vez de fallar)</w:t>
      </w:r>
    </w:p>
    <w:p>
      <w:pPr>
        <w:pStyle w:val="ListBullet"/>
        <w:spacing w:after="40"/>
      </w:pPr>
      <w:r>
        <w:t>¿Qué se ganó y qué se pagó? (menos errores a cambio de algo más de espera: ¿la espera es aceptable?)</w:t>
      </w:r>
    </w:p>
    <w:p>
      <w:pPr>
        <w:pStyle w:val="ListBullet"/>
        <w:spacing w:after="40"/>
      </w:pPr>
      <w:r>
        <w:t>¿Cuántos usuarios simultáneos soporta la tienda según sus datos, y qué cambiarían primero para soportar el doble?</w:t>
      </w:r>
    </w:p>
    <w:p>
      <w:pPr>
        <w:spacing w:after="120"/>
      </w:pPr>
      <w:r>
        <w:rPr>
          <w:b/>
          <w:i w:val="0"/>
          <w:color w:val="B42318"/>
        </w:rPr>
        <w:t>Una interpretación sin datos que la respalden, o datos sin interpretación, no cumplen el indicador 2c.</w:t>
      </w:r>
    </w:p>
    <w:p>
      <w:pPr>
        <w:pStyle w:val="Heading2"/>
      </w:pPr>
      <w:r>
        <w:t>Advertencias</w:t>
      </w:r>
    </w:p>
    <w:p>
      <w:pPr>
        <w:pStyle w:val="ListBullet"/>
        <w:spacing w:after="40"/>
      </w:pPr>
      <w:r>
        <w:t>El resultado no está garantizado: si con 200 usuarios la base no se satura, hay que subir la carga hasta encontrar el límite. Encontrarlo es parte del desafío.</w:t>
      </w:r>
    </w:p>
    <w:p>
      <w:pPr>
        <w:pStyle w:val="ListBullet"/>
        <w:spacing w:after="40"/>
      </w:pPr>
      <w:r>
        <w:t>Duración: 5 minutos por prueba es suficiente. Genera tráfico en CloudFront y el ALB por centavos; no se deja corriendo.</w:t>
      </w:r>
    </w:p>
    <w:p>
      <w:pPr>
        <w:pStyle w:val="ListBullet"/>
        <w:spacing w:after="40"/>
      </w:pPr>
      <w:r>
        <w:t>No se hace en clase: el grupo trae los resultados de las dos pruebas y la ejecución se ve en el video.</w:t>
      </w:r>
    </w:p>
    <w:p>
      <w:pPr>
        <w:pStyle w:val="ListBullet"/>
        <w:spacing w:after="40"/>
      </w:pPr>
      <w:r>
        <w:t>La prueba es solo contra la tienda del propio grupo. Nunca contra la de otro grupo ni contra otro sitio.</w:t>
      </w:r>
    </w:p>
    <w:p>
      <w:pPr>
        <w:pStyle w:val="ListBullet"/>
        <w:spacing w:after="40"/>
      </w:pPr>
      <w:r>
        <w:t>Para el indicador 3b (usuarios que llenan el carrito sin pagar), el grupo adapta este script: cada usuario necesita su propia sesión y el token del formulario. Documentación: grafana.com/docs/k6.</w:t>
      </w:r>
    </w:p>
    <w:p>
      <w:r>
        <w:br w:type="page"/>
      </w:r>
    </w:p>
    <w:p>
      <w:pPr>
        <w:pStyle w:val="Heading1"/>
      </w:pPr>
      <w:r>
        <w:t>Anexo D: más productos por migración y experimento de búsqueda (indicadores 2d y 2e)</w:t>
      </w:r>
    </w:p>
    <w:p>
      <w:pPr>
        <w:spacing w:after="120"/>
      </w:pPr>
      <w:r>
        <w:rPr>
          <w:b w:val="0"/>
          <w:i w:val="0"/>
          <w:color w:val="55595E"/>
        </w:rPr>
        <w:t>Hoy la tienda carga solo 6 productos (Data/SeedData.cs). Con tan pocos, la búsqueda por significado casi no se nota: el grupo agrega productos con una migración propia.</w:t>
      </w:r>
    </w:p>
    <w:p>
      <w:pPr>
        <w:pStyle w:val="Heading2"/>
      </w:pPr>
      <w:r>
        <w:t>Paso 1: crear una migración solo con productos</w:t>
      </w:r>
    </w:p>
    <w:p>
      <w:pPr>
        <w:spacing w:after="40"/>
      </w:pPr>
      <w:r>
        <w:rPr>
          <w:b w:val="0"/>
          <w:i w:val="0"/>
        </w:rPr>
        <w:t>En la PC, en la carpeta del proyecto:</w:t>
      </w:r>
    </w:p>
    <w:p>
      <w:pPr>
        <w:spacing w:after="0"/>
        <w:ind w:left="227"/>
      </w:pPr>
      <w:r>
        <w:rPr>
          <w:rFonts w:ascii="Consolas" w:hAnsi="Consolas" w:eastAsia="Consolas"/>
          <w:sz w:val="17"/>
        </w:rPr>
        <w:t>dotnet ef migrations add MasProductos</w:t>
      </w:r>
    </w:p>
    <w:p>
      <w:pPr>
        <w:spacing w:after="120"/>
      </w:pPr>
    </w:p>
    <w:p>
      <w:pPr>
        <w:spacing w:after="40"/>
      </w:pPr>
      <w:r>
        <w:rPr>
          <w:b w:val="0"/>
          <w:i w:val="0"/>
        </w:rPr>
        <w:t>Se crea Data/Migrations/&lt;fecha&gt;_MasProductos.cs, vacía. Dentro se escriben los productos:</w:t>
      </w:r>
    </w:p>
    <w:p>
      <w:pPr>
        <w:spacing w:after="0"/>
        <w:ind w:left="227"/>
      </w:pPr>
      <w:r>
        <w:rPr>
          <w:rFonts w:ascii="Consolas" w:hAnsi="Consolas" w:eastAsia="Consolas"/>
          <w:sz w:val="17"/>
        </w:rPr>
        <w:t>protected override void Up(MigrationBuilder migrationBuilder)</w:t>
      </w:r>
    </w:p>
    <w:p>
      <w:pPr>
        <w:spacing w:after="0"/>
        <w:ind w:left="227"/>
      </w:pPr>
      <w:r>
        <w:rPr>
          <w:rFonts w:ascii="Consolas" w:hAnsi="Consolas" w:eastAsia="Consolas"/>
          <w:sz w:val="17"/>
        </w:rPr>
        <w:t>{</w:t>
      </w:r>
    </w:p>
    <w:p>
      <w:pPr>
        <w:spacing w:after="0"/>
        <w:ind w:left="227"/>
      </w:pPr>
      <w:r>
        <w:rPr>
          <w:rFonts w:ascii="Consolas" w:hAnsi="Consolas" w:eastAsia="Consolas"/>
          <w:sz w:val="17"/>
        </w:rPr>
        <w:t xml:space="preserve">    migrationBuilder.Sql("""</w:t>
      </w:r>
    </w:p>
    <w:p>
      <w:pPr>
        <w:spacing w:after="0"/>
        <w:ind w:left="227"/>
      </w:pPr>
      <w:r>
        <w:rPr>
          <w:rFonts w:ascii="Consolas" w:hAnsi="Consolas" w:eastAsia="Consolas"/>
          <w:sz w:val="17"/>
        </w:rPr>
        <w:t xml:space="preserve">        INSERT INTO "Products" ("Name","Category","Description","Price","Stock","Emoji") VALUES</w:t>
      </w:r>
    </w:p>
    <w:p>
      <w:pPr>
        <w:spacing w:after="0"/>
        <w:ind w:left="227"/>
      </w:pPr>
      <w:r>
        <w:rPr>
          <w:rFonts w:ascii="Consolas" w:hAnsi="Consolas" w:eastAsia="Consolas"/>
          <w:sz w:val="17"/>
        </w:rPr>
        <w:t xml:space="preserve">        ('Parlante bluetooth', 'Audio', 'Parlante portátil resistente al agua para fiestas y viajes', 249, 25, '🔊'),</w:t>
      </w:r>
    </w:p>
    <w:p>
      <w:pPr>
        <w:spacing w:after="0"/>
        <w:ind w:left="227"/>
      </w:pPr>
      <w:r>
        <w:rPr>
          <w:rFonts w:ascii="Consolas" w:hAnsi="Consolas" w:eastAsia="Consolas"/>
          <w:sz w:val="17"/>
        </w:rPr>
        <w:t xml:space="preserve">        ('Libro de Python para principiantes', 'Libros', 'Aprende a programar desde cero con ejercicios prácticos', 89, 40, '📘');</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protected override void Down(MigrationBuilder migrationBuilder)</w:t>
      </w:r>
    </w:p>
    <w:p>
      <w:pPr>
        <w:spacing w:after="0"/>
        <w:ind w:left="227"/>
      </w:pPr>
      <w:r>
        <w:rPr>
          <w:rFonts w:ascii="Consolas" w:hAnsi="Consolas" w:eastAsia="Consolas"/>
          <w:sz w:val="17"/>
        </w:rPr>
        <w:t>{</w:t>
      </w:r>
    </w:p>
    <w:p>
      <w:pPr>
        <w:spacing w:after="0"/>
        <w:ind w:left="227"/>
      </w:pPr>
      <w:r>
        <w:rPr>
          <w:rFonts w:ascii="Consolas" w:hAnsi="Consolas" w:eastAsia="Consolas"/>
          <w:sz w:val="17"/>
        </w:rPr>
        <w:t xml:space="preserve">    migrationBuilder.Sql("""</w:t>
      </w:r>
    </w:p>
    <w:p>
      <w:pPr>
        <w:spacing w:after="0"/>
        <w:ind w:left="227"/>
      </w:pPr>
      <w:r>
        <w:rPr>
          <w:rFonts w:ascii="Consolas" w:hAnsi="Consolas" w:eastAsia="Consolas"/>
          <w:sz w:val="17"/>
        </w:rPr>
        <w:t xml:space="preserve">        DELETE FROM "Products" WHERE "Name" IN ('Parlante bluetooth', 'Libro de Python para principiantes');</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w:t>
      </w:r>
    </w:p>
    <w:p>
      <w:pPr>
        <w:spacing w:after="120"/>
      </w:pPr>
    </w:p>
    <w:p>
      <w:pPr>
        <w:spacing w:after="120"/>
      </w:pPr>
      <w:r>
        <w:rPr>
          <w:b/>
          <w:i w:val="0"/>
        </w:rPr>
        <w:t>Requisitos: al menos 30 productos nuevos, de por lo menos 5 categorías, con descripciones de una o dos frases que expliquen para qué sirve cada producto. El modelo convierte en vector «nombre + categoría + descripción»: con descripciones pobres, la búsqueda por significado funciona mal.</w:t>
      </w:r>
    </w:p>
    <w:p>
      <w:pPr>
        <w:pStyle w:val="Heading2"/>
      </w:pPr>
      <w:r>
        <w:t>Paso 2: ejecutar solo la carga de productos</w:t>
      </w:r>
    </w:p>
    <w:tbl>
      <w:tblPr>
        <w:tblStyle w:val="TableGrid"/>
        <w:tblW w:type="auto" w:w="0"/>
        <w:jc w:val="center"/>
        <w:tblLook w:firstColumn="1" w:firstRow="1" w:lastColumn="0" w:lastRow="0" w:noHBand="0" w:noVBand="1" w:val="04A0"/>
      </w:tblPr>
      <w:tblGrid>
        <w:gridCol w:w="4819"/>
        <w:gridCol w:w="4819"/>
      </w:tblGrid>
      <w:tr>
        <w:tc>
          <w:tcPr>
            <w:tcW w:type="dxa" w:w="3969"/>
            <w:shd w:val="clear" w:color="auto" w:fill="0B5CAD"/>
          </w:tcPr>
          <w:p>
            <w:r/>
            <w:r>
              <w:rPr>
                <w:b/>
                <w:color w:val="FFFFFF"/>
                <w:sz w:val="19"/>
              </w:rPr>
              <w:t>Qué quiero</w:t>
            </w:r>
          </w:p>
        </w:tc>
        <w:tc>
          <w:tcPr>
            <w:tcW w:type="dxa" w:w="5669"/>
            <w:shd w:val="clear" w:color="auto" w:fill="0B5CAD"/>
          </w:tcPr>
          <w:p>
            <w:r/>
            <w:r>
              <w:rPr>
                <w:b/>
                <w:color w:val="FFFFFF"/>
                <w:sz w:val="19"/>
              </w:rPr>
              <w:t>Comando</w:t>
            </w:r>
          </w:p>
        </w:tc>
      </w:tr>
      <w:tr>
        <w:tc>
          <w:tcPr>
            <w:tcW w:type="dxa" w:w="3969"/>
          </w:tcPr>
          <w:p>
            <w:r/>
            <w:r>
              <w:rPr>
                <w:b w:val="0"/>
                <w:sz w:val="19"/>
              </w:rPr>
              <w:t>Ver el SQL solo de esta migración, sin ejecutar nada</w:t>
            </w:r>
          </w:p>
        </w:tc>
        <w:tc>
          <w:tcPr>
            <w:tcW w:type="dxa" w:w="5669"/>
          </w:tcPr>
          <w:p>
            <w:r/>
            <w:r>
              <w:rPr>
                <w:b w:val="0"/>
                <w:sz w:val="19"/>
              </w:rPr>
              <w:t>dotnet ef migrations script BusquedaVectorialPgvector MasProductos</w:t>
            </w:r>
          </w:p>
        </w:tc>
      </w:tr>
      <w:tr>
        <w:tc>
          <w:tcPr>
            <w:tcW w:type="dxa" w:w="3969"/>
          </w:tcPr>
          <w:p>
            <w:r/>
            <w:r>
              <w:rPr>
                <w:b w:val="0"/>
                <w:sz w:val="19"/>
              </w:rPr>
              <w:t>Aplicarla en la base local</w:t>
            </w:r>
          </w:p>
        </w:tc>
        <w:tc>
          <w:tcPr>
            <w:tcW w:type="dxa" w:w="5669"/>
          </w:tcPr>
          <w:p>
            <w:r/>
            <w:r>
              <w:rPr>
                <w:b w:val="0"/>
                <w:sz w:val="19"/>
              </w:rPr>
              <w:t>dotnet ef database update MasProductos</w:t>
            </w:r>
          </w:p>
        </w:tc>
      </w:tr>
      <w:tr>
        <w:tc>
          <w:tcPr>
            <w:tcW w:type="dxa" w:w="3969"/>
          </w:tcPr>
          <w:p>
            <w:r/>
            <w:r>
              <w:rPr>
                <w:b w:val="0"/>
                <w:sz w:val="19"/>
              </w:rPr>
              <w:t>Deshacerla (ejecuta el Down y borra esos productos)</w:t>
            </w:r>
          </w:p>
        </w:tc>
        <w:tc>
          <w:tcPr>
            <w:tcW w:type="dxa" w:w="5669"/>
          </w:tcPr>
          <w:p>
            <w:r/>
            <w:r>
              <w:rPr>
                <w:b w:val="0"/>
                <w:sz w:val="19"/>
              </w:rPr>
              <w:t>dotnet ef database update BusquedaVectorialPgvector</w:t>
            </w:r>
          </w:p>
        </w:tc>
      </w:tr>
    </w:tbl>
    <w:p>
      <w:pPr>
        <w:spacing w:after="80"/>
      </w:pPr>
    </w:p>
    <w:p>
      <w:pPr>
        <w:spacing w:after="120"/>
      </w:pPr>
      <w:r>
        <w:rPr>
          <w:b w:val="0"/>
          <w:i w:val="0"/>
        </w:rPr>
        <w:t>En AWS no se ejecuta nada a mano: push → pipeline → al arrancar, la app aplica solo las migraciones pendientes (MasProductos) → el indexador calcula los vectores de los productos nuevos (al arrancar y luego cada 10 minutos).</w:t>
      </w:r>
    </w:p>
    <w:p>
      <w:pPr>
        <w:pStyle w:val="Heading2"/>
      </w:pPr>
      <w:r>
        <w:t>Paso 3: comprobar los vectores en RDS</w:t>
      </w:r>
    </w:p>
    <w:p>
      <w:pPr>
        <w:spacing w:after="40"/>
      </w:pPr>
      <w:r>
        <w:rPr>
          <w:b w:val="0"/>
          <w:i w:val="0"/>
        </w:rPr>
        <w:t>Desde la EC2 por Session Manager: sudo dnf install -y postgresql16 y luego psql contra el endpoint de RDS (usuario urponline; la contraseña está en Secrets Manager).</w:t>
      </w:r>
    </w:p>
    <w:p>
      <w:pPr>
        <w:spacing w:after="0"/>
        <w:ind w:left="227"/>
      </w:pPr>
      <w:r>
        <w:rPr>
          <w:rFonts w:ascii="Consolas" w:hAnsi="Consolas" w:eastAsia="Consolas"/>
          <w:sz w:val="17"/>
        </w:rPr>
        <w:t>-- ¿Cuántos productos tienen vector? (debe ser igual al número de productos)</w:t>
      </w:r>
    </w:p>
    <w:p>
      <w:pPr>
        <w:spacing w:after="0"/>
        <w:ind w:left="227"/>
      </w:pPr>
      <w:r>
        <w:rPr>
          <w:rFonts w:ascii="Consolas" w:hAnsi="Consolas" w:eastAsia="Consolas"/>
          <w:sz w:val="17"/>
        </w:rPr>
        <w:t>SELECT (SELECT COUNT(*) FROM "Products") AS productos,</w:t>
      </w:r>
    </w:p>
    <w:p>
      <w:pPr>
        <w:spacing w:after="0"/>
        <w:ind w:left="227"/>
      </w:pPr>
      <w:r>
        <w:rPr>
          <w:rFonts w:ascii="Consolas" w:hAnsi="Consolas" w:eastAsia="Consolas"/>
          <w:sz w:val="17"/>
        </w:rPr>
        <w:t xml:space="preserve">       (SELECT COUNT(*) FROM "ProductEmbeddings") AS con_vector;</w:t>
      </w:r>
    </w:p>
    <w:p>
      <w:pPr>
        <w:spacing w:after="0"/>
        <w:ind w:left="227"/>
      </w:pPr>
      <w:r>
        <w:rPr>
          <w:rFonts w:ascii="Consolas" w:hAnsi="Consolas" w:eastAsia="Consolas"/>
          <w:sz w:val="17"/>
        </w:rPr>
        <w:t xml:space="preserve"> </w:t>
      </w:r>
    </w:p>
    <w:p>
      <w:pPr>
        <w:spacing w:after="0"/>
        <w:ind w:left="227"/>
      </w:pPr>
      <w:r>
        <w:rPr>
          <w:rFonts w:ascii="Consolas" w:hAnsi="Consolas" w:eastAsia="Consolas"/>
          <w:sz w:val="17"/>
        </w:rPr>
        <w:t>-- Los 5 productos más parecidos a uno dado (cambiar el 1 por cualquier Id)</w:t>
      </w:r>
    </w:p>
    <w:p>
      <w:pPr>
        <w:spacing w:after="0"/>
        <w:ind w:left="227"/>
      </w:pPr>
      <w:r>
        <w:rPr>
          <w:rFonts w:ascii="Consolas" w:hAnsi="Consolas" w:eastAsia="Consolas"/>
          <w:sz w:val="17"/>
        </w:rPr>
        <w:t>SELECT p."Name", ROUND((1 - (e."Embedding" &lt;=&gt; q."Embedding"))::numeric, 3) AS similitud</w:t>
      </w:r>
    </w:p>
    <w:p>
      <w:pPr>
        <w:spacing w:after="0"/>
        <w:ind w:left="227"/>
      </w:pPr>
      <w:r>
        <w:rPr>
          <w:rFonts w:ascii="Consolas" w:hAnsi="Consolas" w:eastAsia="Consolas"/>
          <w:sz w:val="17"/>
        </w:rPr>
        <w:t>FROM "ProductEmbeddings" e</w:t>
      </w:r>
    </w:p>
    <w:p>
      <w:pPr>
        <w:spacing w:after="0"/>
        <w:ind w:left="227"/>
      </w:pPr>
      <w:r>
        <w:rPr>
          <w:rFonts w:ascii="Consolas" w:hAnsi="Consolas" w:eastAsia="Consolas"/>
          <w:sz w:val="17"/>
        </w:rPr>
        <w:t>JOIN "Products" p ON p."Id" = e."ProductId",</w:t>
      </w:r>
    </w:p>
    <w:p>
      <w:pPr>
        <w:spacing w:after="0"/>
        <w:ind w:left="227"/>
      </w:pPr>
      <w:r>
        <w:rPr>
          <w:rFonts w:ascii="Consolas" w:hAnsi="Consolas" w:eastAsia="Consolas"/>
          <w:sz w:val="17"/>
        </w:rPr>
        <w:t xml:space="preserve">     (SELECT "Embedding" FROM "ProductEmbeddings" WHERE "ProductId" = 1) q</w:t>
      </w:r>
    </w:p>
    <w:p>
      <w:pPr>
        <w:spacing w:after="0"/>
        <w:ind w:left="227"/>
      </w:pPr>
      <w:r>
        <w:rPr>
          <w:rFonts w:ascii="Consolas" w:hAnsi="Consolas" w:eastAsia="Consolas"/>
          <w:sz w:val="17"/>
        </w:rPr>
        <w:t>WHERE e."ProductId" &lt;&gt; 1</w:t>
      </w:r>
    </w:p>
    <w:p>
      <w:pPr>
        <w:spacing w:after="0"/>
        <w:ind w:left="227"/>
      </w:pPr>
      <w:r>
        <w:rPr>
          <w:rFonts w:ascii="Consolas" w:hAnsi="Consolas" w:eastAsia="Consolas"/>
          <w:sz w:val="17"/>
        </w:rPr>
        <w:t>ORDER BY e."Embedding" &lt;=&gt; q."Embedding"</w:t>
      </w:r>
    </w:p>
    <w:p>
      <w:pPr>
        <w:spacing w:after="0"/>
        <w:ind w:left="227"/>
      </w:pPr>
      <w:r>
        <w:rPr>
          <w:rFonts w:ascii="Consolas" w:hAnsi="Consolas" w:eastAsia="Consolas"/>
          <w:sz w:val="17"/>
        </w:rPr>
        <w:t>LIMIT 5;</w:t>
      </w:r>
    </w:p>
    <w:p>
      <w:pPr>
        <w:spacing w:after="120"/>
      </w:pPr>
    </w:p>
    <w:p>
      <w:pPr>
        <w:spacing w:after="120"/>
      </w:pPr>
      <w:r>
        <w:rPr>
          <w:b w:val="0"/>
          <w:i w:val="0"/>
        </w:rPr>
        <w:t>&lt;=&gt; es la distancia coseno: 0 significa idénticos; por eso la similitud es 1 − distancia.</w:t>
      </w:r>
    </w:p>
    <w:p>
      <w:pPr>
        <w:pStyle w:val="Heading2"/>
      </w:pPr>
      <w:r>
        <w:t>Paso 4: el experimento de búsqueda</w:t>
      </w:r>
    </w:p>
    <w:p>
      <w:pPr>
        <w:pStyle w:val="ListBullet"/>
        <w:spacing w:after="40"/>
      </w:pPr>
      <w:r>
        <w:t>Elegir 10 búsquedas que no coincidan exactamente con ningún nombre (por ejemplo «algo para escuchar música», «regalo para un estudiante», «aprender a programar»).</w:t>
      </w:r>
    </w:p>
    <w:p>
      <w:pPr>
        <w:pStyle w:val="ListBullet"/>
        <w:spacing w:after="40"/>
      </w:pPr>
      <w:r>
        <w:t>Hacerlas en la tienda con el umbral actual, 0,3 (Embeddings:MinSimilarity en appsettings.json), y anotar los productos relacionados.</w:t>
      </w:r>
    </w:p>
    <w:p>
      <w:pPr>
        <w:pStyle w:val="ListBullet"/>
        <w:spacing w:after="40"/>
      </w:pPr>
      <w:r>
        <w:t>Cambiar el umbral a 0,6 por el pipeline (commit y push) y repetir las mismas búsquedas.</w:t>
      </w:r>
    </w:p>
    <w:p>
      <w:pPr>
        <w:pStyle w:val="ListBullet"/>
        <w:spacing w:after="40"/>
      </w:pPr>
      <w:r>
        <w:t>Llenar la tabla y escribir la interpretación.</w:t>
      </w:r>
    </w:p>
    <w:p>
      <w:pPr>
        <w:spacing w:after="80"/>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494"/>
            <w:shd w:val="clear" w:color="auto" w:fill="0B5CAD"/>
          </w:tcPr>
          <w:p>
            <w:r/>
            <w:r>
              <w:rPr>
                <w:b/>
                <w:color w:val="FFFFFF"/>
                <w:sz w:val="19"/>
              </w:rPr>
              <w:t>Búsqueda</w:t>
            </w:r>
          </w:p>
        </w:tc>
        <w:tc>
          <w:tcPr>
            <w:tcW w:type="dxa" w:w="2041"/>
            <w:shd w:val="clear" w:color="auto" w:fill="0B5CAD"/>
          </w:tcPr>
          <w:p>
            <w:r/>
            <w:r>
              <w:rPr>
                <w:b/>
                <w:color w:val="FFFFFF"/>
                <w:sz w:val="19"/>
              </w:rPr>
              <w:t>Relacionados con 0,3</w:t>
            </w:r>
          </w:p>
        </w:tc>
        <w:tc>
          <w:tcPr>
            <w:tcW w:type="dxa" w:w="1474"/>
            <w:shd w:val="clear" w:color="auto" w:fill="0B5CAD"/>
          </w:tcPr>
          <w:p>
            <w:r/>
            <w:r>
              <w:rPr>
                <w:b/>
                <w:color w:val="FFFFFF"/>
                <w:sz w:val="19"/>
              </w:rPr>
              <w:t>¿Cuántos tienen sentido?</w:t>
            </w:r>
          </w:p>
        </w:tc>
        <w:tc>
          <w:tcPr>
            <w:tcW w:type="dxa" w:w="2041"/>
            <w:shd w:val="clear" w:color="auto" w:fill="0B5CAD"/>
          </w:tcPr>
          <w:p>
            <w:r/>
            <w:r>
              <w:rPr>
                <w:b/>
                <w:color w:val="FFFFFF"/>
                <w:sz w:val="19"/>
              </w:rPr>
              <w:t>Relacionados con 0,6</w:t>
            </w:r>
          </w:p>
        </w:tc>
        <w:tc>
          <w:tcPr>
            <w:tcW w:type="dxa" w:w="1587"/>
            <w:shd w:val="clear" w:color="auto" w:fill="0B5CAD"/>
          </w:tcPr>
          <w:p>
            <w:r/>
            <w:r>
              <w:rPr>
                <w:b/>
                <w:color w:val="FFFFFF"/>
                <w:sz w:val="19"/>
              </w:rPr>
              <w:t>¿Cuántos tienen sentido?</w:t>
            </w:r>
          </w:p>
        </w:tc>
      </w:tr>
      <w:tr>
        <w:tc>
          <w:tcPr>
            <w:tcW w:type="dxa" w:w="2494"/>
          </w:tcPr>
          <w:p>
            <w:r/>
            <w:r>
              <w:rPr>
                <w:b/>
                <w:sz w:val="19"/>
              </w:rPr>
              <w:t>algo para escuchar música</w:t>
            </w:r>
          </w:p>
        </w:tc>
        <w:tc>
          <w:tcPr>
            <w:tcW w:type="dxa" w:w="2041"/>
          </w:tcPr>
          <w:p>
            <w:r/>
            <w:r>
              <w:rPr>
                <w:b w:val="0"/>
                <w:sz w:val="19"/>
              </w:rPr>
            </w:r>
          </w:p>
        </w:tc>
        <w:tc>
          <w:tcPr>
            <w:tcW w:type="dxa" w:w="1474"/>
          </w:tcPr>
          <w:p>
            <w:r/>
            <w:r>
              <w:rPr>
                <w:b w:val="0"/>
                <w:sz w:val="19"/>
              </w:rPr>
            </w:r>
          </w:p>
        </w:tc>
        <w:tc>
          <w:tcPr>
            <w:tcW w:type="dxa" w:w="2041"/>
          </w:tcPr>
          <w:p>
            <w:r/>
            <w:r>
              <w:rPr>
                <w:b w:val="0"/>
                <w:sz w:val="19"/>
              </w:rPr>
            </w:r>
          </w:p>
        </w:tc>
        <w:tc>
          <w:tcPr>
            <w:tcW w:type="dxa" w:w="1587"/>
          </w:tcPr>
          <w:p>
            <w:r/>
            <w:r>
              <w:rPr>
                <w:b w:val="0"/>
                <w:sz w:val="19"/>
              </w:rPr>
            </w:r>
          </w:p>
        </w:tc>
      </w:tr>
      <w:tr>
        <w:tc>
          <w:tcPr>
            <w:tcW w:type="dxa" w:w="2494"/>
          </w:tcPr>
          <w:p>
            <w:r/>
            <w:r>
              <w:rPr>
                <w:b/>
                <w:sz w:val="19"/>
              </w:rPr>
            </w:r>
          </w:p>
        </w:tc>
        <w:tc>
          <w:tcPr>
            <w:tcW w:type="dxa" w:w="2041"/>
          </w:tcPr>
          <w:p>
            <w:r/>
            <w:r>
              <w:rPr>
                <w:b w:val="0"/>
                <w:sz w:val="19"/>
              </w:rPr>
            </w:r>
          </w:p>
        </w:tc>
        <w:tc>
          <w:tcPr>
            <w:tcW w:type="dxa" w:w="1474"/>
          </w:tcPr>
          <w:p>
            <w:r/>
            <w:r>
              <w:rPr>
                <w:b w:val="0"/>
                <w:sz w:val="19"/>
              </w:rPr>
            </w:r>
          </w:p>
        </w:tc>
        <w:tc>
          <w:tcPr>
            <w:tcW w:type="dxa" w:w="2041"/>
          </w:tcPr>
          <w:p>
            <w:r/>
            <w:r>
              <w:rPr>
                <w:b w:val="0"/>
                <w:sz w:val="19"/>
              </w:rPr>
            </w:r>
          </w:p>
        </w:tc>
        <w:tc>
          <w:tcPr>
            <w:tcW w:type="dxa" w:w="1587"/>
          </w:tcPr>
          <w:p>
            <w:r/>
            <w:r>
              <w:rPr>
                <w:b w:val="0"/>
                <w:sz w:val="19"/>
              </w:rPr>
            </w:r>
          </w:p>
        </w:tc>
      </w:tr>
      <w:tr>
        <w:tc>
          <w:tcPr>
            <w:tcW w:type="dxa" w:w="2494"/>
          </w:tcPr>
          <w:p>
            <w:r/>
            <w:r>
              <w:rPr>
                <w:b/>
                <w:sz w:val="19"/>
              </w:rPr>
            </w:r>
          </w:p>
        </w:tc>
        <w:tc>
          <w:tcPr>
            <w:tcW w:type="dxa" w:w="2041"/>
          </w:tcPr>
          <w:p>
            <w:r/>
            <w:r>
              <w:rPr>
                <w:b w:val="0"/>
                <w:sz w:val="19"/>
              </w:rPr>
            </w:r>
          </w:p>
        </w:tc>
        <w:tc>
          <w:tcPr>
            <w:tcW w:type="dxa" w:w="1474"/>
          </w:tcPr>
          <w:p>
            <w:r/>
            <w:r>
              <w:rPr>
                <w:b w:val="0"/>
                <w:sz w:val="19"/>
              </w:rPr>
            </w:r>
          </w:p>
        </w:tc>
        <w:tc>
          <w:tcPr>
            <w:tcW w:type="dxa" w:w="2041"/>
          </w:tcPr>
          <w:p>
            <w:r/>
            <w:r>
              <w:rPr>
                <w:b w:val="0"/>
                <w:sz w:val="19"/>
              </w:rPr>
            </w:r>
          </w:p>
        </w:tc>
        <w:tc>
          <w:tcPr>
            <w:tcW w:type="dxa" w:w="1587"/>
          </w:tcPr>
          <w:p>
            <w:r/>
            <w:r>
              <w:rPr>
                <w:b w:val="0"/>
                <w:sz w:val="19"/>
              </w:rPr>
            </w:r>
          </w:p>
        </w:tc>
      </w:tr>
    </w:tbl>
    <w:p>
      <w:pPr>
        <w:spacing w:after="80"/>
      </w:pPr>
    </w:p>
    <w:p>
      <w:pPr>
        <w:spacing w:after="80"/>
      </w:pPr>
      <w:r>
        <w:rPr>
          <w:b/>
          <w:i w:val="0"/>
          <w:color w:val="B42318"/>
        </w:rPr>
        <w:t>Interpretación obligatoria: ¿qué umbral funciona mejor para su tienda y por qué? ¿Qué pasa con las búsquedas que no se parecen a ningún producto?</w:t>
      </w:r>
    </w:p>
    <w:p>
      <w:r>
        <w:br w:type="page"/>
      </w:r>
    </w:p>
    <w:p>
      <w:pPr>
        <w:pStyle w:val="Heading1"/>
      </w:pPr>
      <w:r>
        <w:t>Anexo E: entorno de prueba de Mercado Pago (indicadores 3c a 3e)</w:t>
      </w:r>
    </w:p>
    <w:p>
      <w:pPr>
        <w:spacing w:after="160"/>
        <w:shd w:val="clear" w:color="auto" w:fill="FDECEA"/>
        <w:pBdr>
          <w:left w:val="single" w:sz="18" w:space="6" w:color="B42318"/>
        </w:pBdr>
      </w:pPr>
      <w:r>
        <w:rPr>
          <w:b/>
          <w:i w:val="0"/>
          <w:color w:val="B42318"/>
        </w:rPr>
        <w:t>Prohibido usar tarjetas reales, credenciales de producción o la cuenta personal de Mercado Pago. Si se usan, el bloque 3 vale 0 aunque funcione.</w:t>
      </w:r>
    </w:p>
    <w:p>
      <w:pPr>
        <w:pStyle w:val="Heading2"/>
      </w:pPr>
      <w:r>
        <w:t>1. Credenciales de prueba</w:t>
      </w:r>
    </w:p>
    <w:p>
      <w:pPr>
        <w:spacing w:after="120"/>
      </w:pPr>
      <w:r>
        <w:rPr>
          <w:b w:val="0"/>
          <w:i w:val="0"/>
        </w:rPr>
        <w:t>Al crear la aplicación en «Tus integraciones» (mercadopago.com.pe/developers) se obtienen dos juegos de credenciales: de prueba (no mueven dinero) y de producción (tienda real). Se usan solo las de prueba; son las que se guardan en Secrets Manager.</w:t>
      </w:r>
    </w:p>
    <w:p>
      <w:pPr>
        <w:pStyle w:val="Heading2"/>
      </w:pPr>
      <w:r>
        <w:t>2. Usuarios de prueba</w:t>
      </w:r>
    </w:p>
    <w:p>
      <w:pPr>
        <w:spacing w:after="120"/>
      </w:pPr>
      <w:r>
        <w:rPr>
          <w:b w:val="0"/>
          <w:i w:val="0"/>
        </w:rPr>
        <w:t>En «Cuentas de prueba» se crean un vendedor de prueba (la tienda: sus credenciales usa la aplicación) y un comprador de prueba (el cliente: con él se inicia sesión al pagar).</w:t>
      </w:r>
    </w:p>
    <w:p>
      <w:pPr>
        <w:pStyle w:val="Heading2"/>
      </w:pPr>
      <w:r>
        <w:t>3. Tarjetas de prueba</w:t>
      </w:r>
    </w:p>
    <w:p>
      <w:pPr>
        <w:spacing w:after="80"/>
      </w:pPr>
      <w:r>
        <w:rPr>
          <w:b w:val="0"/>
          <w:i w:val="0"/>
        </w:rPr>
        <w:t>Mercado Pago publica números de tarjeta ficticios para cada país en su documentación (sección «Tarjetas de prueba»). Los números, el vencimiento, el código de seguridad y el documento se copian de esa página oficial para Perú. El nombre del titular decide el resultado:</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0B5CAD"/>
          </w:tcPr>
          <w:p>
            <w:r/>
            <w:r>
              <w:rPr>
                <w:b/>
                <w:color w:val="FFFFFF"/>
                <w:sz w:val="19"/>
              </w:rPr>
              <w:t>Nombre del titular</w:t>
            </w:r>
          </w:p>
        </w:tc>
        <w:tc>
          <w:tcPr>
            <w:tcW w:type="dxa" w:w="7370"/>
            <w:shd w:val="clear" w:color="auto" w:fill="0B5CAD"/>
          </w:tcPr>
          <w:p>
            <w:r/>
            <w:r>
              <w:rPr>
                <w:b/>
                <w:color w:val="FFFFFF"/>
                <w:sz w:val="19"/>
              </w:rPr>
              <w:t>Resultado del pago</w:t>
            </w:r>
          </w:p>
        </w:tc>
      </w:tr>
      <w:tr>
        <w:tc>
          <w:tcPr>
            <w:tcW w:type="dxa" w:w="2268"/>
          </w:tcPr>
          <w:p>
            <w:r/>
            <w:r>
              <w:rPr>
                <w:b/>
                <w:sz w:val="19"/>
              </w:rPr>
              <w:t>APRO</w:t>
            </w:r>
          </w:p>
        </w:tc>
        <w:tc>
          <w:tcPr>
            <w:tcW w:type="dxa" w:w="7370"/>
          </w:tcPr>
          <w:p>
            <w:r/>
            <w:r>
              <w:rPr>
                <w:b w:val="0"/>
                <w:sz w:val="19"/>
              </w:rPr>
              <w:t>Aprobado</w:t>
            </w:r>
          </w:p>
        </w:tc>
      </w:tr>
      <w:tr>
        <w:tc>
          <w:tcPr>
            <w:tcW w:type="dxa" w:w="2268"/>
          </w:tcPr>
          <w:p>
            <w:r/>
            <w:r>
              <w:rPr>
                <w:b/>
                <w:sz w:val="19"/>
              </w:rPr>
              <w:t>OTHE</w:t>
            </w:r>
          </w:p>
        </w:tc>
        <w:tc>
          <w:tcPr>
            <w:tcW w:type="dxa" w:w="7370"/>
          </w:tcPr>
          <w:p>
            <w:r/>
            <w:r>
              <w:rPr>
                <w:b w:val="0"/>
                <w:sz w:val="19"/>
              </w:rPr>
              <w:t>Rechazado (error general)</w:t>
            </w:r>
          </w:p>
        </w:tc>
      </w:tr>
      <w:tr>
        <w:tc>
          <w:tcPr>
            <w:tcW w:type="dxa" w:w="2268"/>
          </w:tcPr>
          <w:p>
            <w:r/>
            <w:r>
              <w:rPr>
                <w:b/>
                <w:sz w:val="19"/>
              </w:rPr>
              <w:t>CONT</w:t>
            </w:r>
          </w:p>
        </w:tc>
        <w:tc>
          <w:tcPr>
            <w:tcW w:type="dxa" w:w="7370"/>
          </w:tcPr>
          <w:p>
            <w:r/>
            <w:r>
              <w:rPr>
                <w:b w:val="0"/>
                <w:sz w:val="19"/>
              </w:rPr>
              <w:t>Pendiente</w:t>
            </w:r>
          </w:p>
        </w:tc>
      </w:tr>
      <w:tr>
        <w:tc>
          <w:tcPr>
            <w:tcW w:type="dxa" w:w="2268"/>
          </w:tcPr>
          <w:p>
            <w:r/>
            <w:r>
              <w:rPr>
                <w:b/>
                <w:sz w:val="19"/>
              </w:rPr>
              <w:t>FUND</w:t>
            </w:r>
          </w:p>
        </w:tc>
        <w:tc>
          <w:tcPr>
            <w:tcW w:type="dxa" w:w="7370"/>
          </w:tcPr>
          <w:p>
            <w:r/>
            <w:r>
              <w:rPr>
                <w:b w:val="0"/>
                <w:sz w:val="19"/>
              </w:rPr>
              <w:t>Rechazado por fondos insuficientes</w:t>
            </w:r>
          </w:p>
        </w:tc>
      </w:tr>
      <w:tr>
        <w:tc>
          <w:tcPr>
            <w:tcW w:type="dxa" w:w="2268"/>
          </w:tcPr>
          <w:p>
            <w:r/>
            <w:r>
              <w:rPr>
                <w:b/>
                <w:sz w:val="19"/>
              </w:rPr>
              <w:t>SECU</w:t>
            </w:r>
          </w:p>
        </w:tc>
        <w:tc>
          <w:tcPr>
            <w:tcW w:type="dxa" w:w="7370"/>
          </w:tcPr>
          <w:p>
            <w:r/>
            <w:r>
              <w:rPr>
                <w:b w:val="0"/>
                <w:sz w:val="19"/>
              </w:rPr>
              <w:t>Rechazado por código de seguridad inválido</w:t>
            </w:r>
          </w:p>
        </w:tc>
      </w:tr>
    </w:tbl>
    <w:p>
      <w:r>
        <w:br w:type="page"/>
      </w:r>
    </w:p>
    <w:p>
      <w:pPr>
        <w:pStyle w:val="Heading1"/>
      </w:pPr>
      <w:r>
        <w:t>Hoja de calificación</w:t>
      </w:r>
    </w:p>
    <w:p>
      <w:pPr>
        <w:spacing w:after="80"/>
      </w:pPr>
      <w:r>
        <w:rPr>
          <w:b w:val="0"/>
          <w:i w:val="0"/>
        </w:rPr>
        <w:t>Grupo: ______________________________   Fecha: ____________   Fork: ____________________________________</w:t>
      </w:r>
    </w:p>
    <w:p>
      <w:pPr>
        <w:spacing w:after="120"/>
      </w:pPr>
      <w:r>
        <w:rPr>
          <w:b w:val="0"/>
          <w:i w:val="0"/>
        </w:rPr>
        <w:t>Integrantes: _____________________________________________________________________________________</w:t>
      </w:r>
    </w:p>
    <w:p>
      <w:pPr>
        <w:spacing w:after="160"/>
      </w:pPr>
      <w:r>
        <w:rPr>
          <w:b w:val="0"/>
          <w:i w:val="0"/>
        </w:rPr>
        <w:t>Requisitos:   ☐ Grupo de 7 a 10 integrantes   ☐ Video completo entregado hasta el 23/10/2026 con todos los integrantes   ☐ Tienda desplegada</w:t>
      </w:r>
    </w:p>
    <w:p>
      <w:pPr>
        <w:spacing w:after="120"/>
      </w:pPr>
      <w:r>
        <w:rPr>
          <w:b w:val="0"/>
          <w:i w:val="0"/>
          <w:color w:val="55595E"/>
        </w:rPr>
        <w:t>Marcar cada indicador. Un bloque vale 5 solo si todos sus indicadores están marcados como «Cumple»; si no, vale 0.</w:t>
      </w:r>
    </w:p>
    <w:p>
      <w:pPr>
        <w:keepNext/>
        <w:spacing w:after="40"/>
      </w:pPr>
      <w:r>
        <w:rPr>
          <w:b/>
          <w:i w:val="0"/>
          <w:color w:val="0B5CAD"/>
        </w:rPr>
        <w:t>Bloque 1: Despliegue, AWS SDK y fallas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0B5CAD"/>
          </w:tcPr>
          <w:p>
            <w:pPr>
              <w:jc w:val="center"/>
            </w:pPr>
            <w:r/>
            <w:r>
              <w:rPr>
                <w:b/>
                <w:color w:val="FFFFFF"/>
                <w:sz w:val="19"/>
              </w:rPr>
              <w:t>#</w:t>
            </w:r>
          </w:p>
        </w:tc>
        <w:tc>
          <w:tcPr>
            <w:tcW w:type="dxa" w:w="6236"/>
            <w:shd w:val="clear" w:color="auto" w:fill="0B5CAD"/>
          </w:tcPr>
          <w:p>
            <w:r/>
            <w:r>
              <w:rPr>
                <w:b/>
                <w:color w:val="FFFFFF"/>
                <w:sz w:val="19"/>
              </w:rPr>
              <w:t>Indicador</w:t>
            </w:r>
          </w:p>
        </w:tc>
        <w:tc>
          <w:tcPr>
            <w:tcW w:type="dxa" w:w="1361"/>
            <w:shd w:val="clear" w:color="auto" w:fill="0B5CAD"/>
          </w:tcPr>
          <w:p>
            <w:pPr>
              <w:jc w:val="center"/>
            </w:pPr>
            <w:r/>
            <w:r>
              <w:rPr>
                <w:b/>
                <w:color w:val="FFFFFF"/>
                <w:sz w:val="19"/>
              </w:rPr>
              <w:t>Cumple</w:t>
            </w:r>
          </w:p>
        </w:tc>
        <w:tc>
          <w:tcPr>
            <w:tcW w:type="dxa" w:w="1474"/>
            <w:shd w:val="clear" w:color="auto" w:fill="0B5CAD"/>
          </w:tcPr>
          <w:p>
            <w:pPr>
              <w:jc w:val="center"/>
            </w:pPr>
            <w:r/>
            <w:r>
              <w:rPr>
                <w:b/>
                <w:color w:val="FFFFFF"/>
                <w:sz w:val="19"/>
              </w:rPr>
              <w:t>No cumple</w:t>
            </w:r>
          </w:p>
        </w:tc>
      </w:tr>
      <w:tr>
        <w:tc>
          <w:tcPr>
            <w:tcW w:type="dxa" w:w="567"/>
          </w:tcPr>
          <w:p>
            <w:pPr>
              <w:jc w:val="center"/>
            </w:pPr>
            <w:r/>
            <w:r>
              <w:rPr>
                <w:b/>
                <w:sz w:val="19"/>
              </w:rPr>
              <w:t>1a</w:t>
            </w:r>
          </w:p>
        </w:tc>
        <w:tc>
          <w:tcPr>
            <w:tcW w:type="dxa" w:w="6236"/>
          </w:tcPr>
          <w:p>
            <w:r/>
            <w:r>
              <w:rPr>
                <w:b w:val="0"/>
                <w:sz w:val="19"/>
              </w:rPr>
              <w:t>Pipeline: primer despliegue y cambio automático</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1b</w:t>
            </w:r>
          </w:p>
        </w:tc>
        <w:tc>
          <w:tcPr>
            <w:tcW w:type="dxa" w:w="6236"/>
          </w:tcPr>
          <w:p>
            <w:r/>
            <w:r>
              <w:rPr>
                <w:b w:val="0"/>
                <w:sz w:val="19"/>
              </w:rPr>
              <w:t>AWS SDK configurado y en uso, sin claves</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1c</w:t>
            </w:r>
          </w:p>
        </w:tc>
        <w:tc>
          <w:tcPr>
            <w:tcW w:type="dxa" w:w="6236"/>
          </w:tcPr>
          <w:p>
            <w:r/>
            <w:r>
              <w:rPr>
                <w:b w:val="0"/>
                <w:sz w:val="19"/>
              </w:rPr>
              <w:t>Cae un servidor</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1d</w:t>
            </w:r>
          </w:p>
        </w:tc>
        <w:tc>
          <w:tcPr>
            <w:tcW w:type="dxa" w:w="6236"/>
          </w:tcPr>
          <w:p>
            <w:r/>
            <w:r>
              <w:rPr>
                <w:b w:val="0"/>
                <w:sz w:val="19"/>
              </w:rPr>
              <w:t>Cae una zona completa</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1e</w:t>
            </w:r>
          </w:p>
        </w:tc>
        <w:tc>
          <w:tcPr>
            <w:tcW w:type="dxa" w:w="6236"/>
          </w:tcPr>
          <w:p>
            <w:r/>
            <w:r>
              <w:rPr>
                <w:b w:val="0"/>
                <w:sz w:val="19"/>
              </w:rPr>
              <w:t>Evidencia de la caída y restauración</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r>
          </w:p>
        </w:tc>
        <w:tc>
          <w:tcPr>
            <w:tcW w:type="dxa" w:w="6236"/>
          </w:tcPr>
          <w:p>
            <w:r/>
            <w:r>
              <w:rPr>
                <w:b w:val="0"/>
                <w:sz w:val="19"/>
              </w:rPr>
              <w:t>Puntaje del bloque (5 o 0)</w:t>
            </w:r>
          </w:p>
        </w:tc>
        <w:tc>
          <w:tcPr>
            <w:tcW w:type="dxa" w:w="1361"/>
          </w:tcPr>
          <w:p>
            <w:pPr>
              <w:jc w:val="center"/>
            </w:pPr>
            <w:r/>
            <w:r>
              <w:rPr>
                <w:b w:val="0"/>
                <w:sz w:val="19"/>
              </w:rPr>
            </w:r>
          </w:p>
        </w:tc>
        <w:tc>
          <w:tcPr>
            <w:tcW w:type="dxa" w:w="1474"/>
          </w:tcPr>
          <w:p>
            <w:pPr>
              <w:jc w:val="center"/>
            </w:pPr>
            <w:r/>
            <w:r>
              <w:rPr>
                <w:b w:val="0"/>
                <w:sz w:val="19"/>
              </w:rPr>
              <w:t>____</w:t>
            </w:r>
          </w:p>
        </w:tc>
      </w:tr>
    </w:tbl>
    <w:p>
      <w:pPr>
        <w:spacing w:after="120"/>
      </w:pPr>
    </w:p>
    <w:p>
      <w:pPr>
        <w:keepNext/>
        <w:spacing w:after="40"/>
      </w:pPr>
      <w:r>
        <w:rPr>
          <w:b/>
          <w:i w:val="0"/>
          <w:color w:val="0B5CAD"/>
        </w:rPr>
        <w:t>Bloque 2: PostgreSQL: carga y búsqueda por vectores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0B5CAD"/>
          </w:tcPr>
          <w:p>
            <w:pPr>
              <w:jc w:val="center"/>
            </w:pPr>
            <w:r/>
            <w:r>
              <w:rPr>
                <w:b/>
                <w:color w:val="FFFFFF"/>
                <w:sz w:val="19"/>
              </w:rPr>
              <w:t>#</w:t>
            </w:r>
          </w:p>
        </w:tc>
        <w:tc>
          <w:tcPr>
            <w:tcW w:type="dxa" w:w="6236"/>
            <w:shd w:val="clear" w:color="auto" w:fill="0B5CAD"/>
          </w:tcPr>
          <w:p>
            <w:r/>
            <w:r>
              <w:rPr>
                <w:b/>
                <w:color w:val="FFFFFF"/>
                <w:sz w:val="19"/>
              </w:rPr>
              <w:t>Indicador</w:t>
            </w:r>
          </w:p>
        </w:tc>
        <w:tc>
          <w:tcPr>
            <w:tcW w:type="dxa" w:w="1361"/>
            <w:shd w:val="clear" w:color="auto" w:fill="0B5CAD"/>
          </w:tcPr>
          <w:p>
            <w:pPr>
              <w:jc w:val="center"/>
            </w:pPr>
            <w:r/>
            <w:r>
              <w:rPr>
                <w:b/>
                <w:color w:val="FFFFFF"/>
                <w:sz w:val="19"/>
              </w:rPr>
              <w:t>Cumple</w:t>
            </w:r>
          </w:p>
        </w:tc>
        <w:tc>
          <w:tcPr>
            <w:tcW w:type="dxa" w:w="1474"/>
            <w:shd w:val="clear" w:color="auto" w:fill="0B5CAD"/>
          </w:tcPr>
          <w:p>
            <w:pPr>
              <w:jc w:val="center"/>
            </w:pPr>
            <w:r/>
            <w:r>
              <w:rPr>
                <w:b/>
                <w:color w:val="FFFFFF"/>
                <w:sz w:val="19"/>
              </w:rPr>
              <w:t>No cumple</w:t>
            </w:r>
          </w:p>
        </w:tc>
      </w:tr>
      <w:tr>
        <w:tc>
          <w:tcPr>
            <w:tcW w:type="dxa" w:w="567"/>
          </w:tcPr>
          <w:p>
            <w:pPr>
              <w:jc w:val="center"/>
            </w:pPr>
            <w:r/>
            <w:r>
              <w:rPr>
                <w:b/>
                <w:sz w:val="19"/>
              </w:rPr>
              <w:t>2a</w:t>
            </w:r>
          </w:p>
        </w:tc>
        <w:tc>
          <w:tcPr>
            <w:tcW w:type="dxa" w:w="6236"/>
          </w:tcPr>
          <w:p>
            <w:r/>
            <w:r>
              <w:rPr>
                <w:b w:val="0"/>
                <w:sz w:val="19"/>
              </w:rPr>
              <w:t>PgBouncer instalado por el pipeline</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2b</w:t>
            </w:r>
          </w:p>
        </w:tc>
        <w:tc>
          <w:tcPr>
            <w:tcW w:type="dxa" w:w="6236"/>
          </w:tcPr>
          <w:p>
            <w:r/>
            <w:r>
              <w:rPr>
                <w:b w:val="0"/>
                <w:sz w:val="19"/>
              </w:rPr>
              <w:t>Prueba de carga con k6</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2c</w:t>
            </w:r>
          </w:p>
        </w:tc>
        <w:tc>
          <w:tcPr>
            <w:tcW w:type="dxa" w:w="6236"/>
          </w:tcPr>
          <w:p>
            <w:r/>
            <w:r>
              <w:rPr>
                <w:b w:val="0"/>
                <w:sz w:val="19"/>
              </w:rPr>
              <w:t>Evidencia en CloudWatch e interpretación</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2d</w:t>
            </w:r>
          </w:p>
        </w:tc>
        <w:tc>
          <w:tcPr>
            <w:tcW w:type="dxa" w:w="6236"/>
          </w:tcPr>
          <w:p>
            <w:r/>
            <w:r>
              <w:rPr>
                <w:b w:val="0"/>
                <w:sz w:val="19"/>
              </w:rPr>
              <w:t>Más productos por migración y vectores verificados en RDS</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2e</w:t>
            </w:r>
          </w:p>
        </w:tc>
        <w:tc>
          <w:tcPr>
            <w:tcW w:type="dxa" w:w="6236"/>
          </w:tcPr>
          <w:p>
            <w:r/>
            <w:r>
              <w:rPr>
                <w:b w:val="0"/>
                <w:sz w:val="19"/>
              </w:rPr>
              <w:t>Experimento de búsqueda e interpretación</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r>
          </w:p>
        </w:tc>
        <w:tc>
          <w:tcPr>
            <w:tcW w:type="dxa" w:w="6236"/>
          </w:tcPr>
          <w:p>
            <w:r/>
            <w:r>
              <w:rPr>
                <w:b w:val="0"/>
                <w:sz w:val="19"/>
              </w:rPr>
              <w:t>Puntaje del bloque (5 o 0)</w:t>
            </w:r>
          </w:p>
        </w:tc>
        <w:tc>
          <w:tcPr>
            <w:tcW w:type="dxa" w:w="1361"/>
          </w:tcPr>
          <w:p>
            <w:pPr>
              <w:jc w:val="center"/>
            </w:pPr>
            <w:r/>
            <w:r>
              <w:rPr>
                <w:b w:val="0"/>
                <w:sz w:val="19"/>
              </w:rPr>
            </w:r>
          </w:p>
        </w:tc>
        <w:tc>
          <w:tcPr>
            <w:tcW w:type="dxa" w:w="1474"/>
          </w:tcPr>
          <w:p>
            <w:pPr>
              <w:jc w:val="center"/>
            </w:pPr>
            <w:r/>
            <w:r>
              <w:rPr>
                <w:b w:val="0"/>
                <w:sz w:val="19"/>
              </w:rPr>
              <w:t>____</w:t>
            </w:r>
          </w:p>
        </w:tc>
      </w:tr>
    </w:tbl>
    <w:p>
      <w:pPr>
        <w:spacing w:after="120"/>
      </w:pPr>
    </w:p>
    <w:p>
      <w:pPr>
        <w:keepNext/>
        <w:spacing w:after="40"/>
      </w:pPr>
      <w:r>
        <w:rPr>
          <w:b/>
          <w:i w:val="0"/>
          <w:color w:val="0B5CAD"/>
        </w:rPr>
        <w:t>Bloque 3: Carrito y pago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0B5CAD"/>
          </w:tcPr>
          <w:p>
            <w:pPr>
              <w:jc w:val="center"/>
            </w:pPr>
            <w:r/>
            <w:r>
              <w:rPr>
                <w:b/>
                <w:color w:val="FFFFFF"/>
                <w:sz w:val="19"/>
              </w:rPr>
              <w:t>#</w:t>
            </w:r>
          </w:p>
        </w:tc>
        <w:tc>
          <w:tcPr>
            <w:tcW w:type="dxa" w:w="6236"/>
            <w:shd w:val="clear" w:color="auto" w:fill="0B5CAD"/>
          </w:tcPr>
          <w:p>
            <w:r/>
            <w:r>
              <w:rPr>
                <w:b/>
                <w:color w:val="FFFFFF"/>
                <w:sz w:val="19"/>
              </w:rPr>
              <w:t>Indicador</w:t>
            </w:r>
          </w:p>
        </w:tc>
        <w:tc>
          <w:tcPr>
            <w:tcW w:type="dxa" w:w="1361"/>
            <w:shd w:val="clear" w:color="auto" w:fill="0B5CAD"/>
          </w:tcPr>
          <w:p>
            <w:pPr>
              <w:jc w:val="center"/>
            </w:pPr>
            <w:r/>
            <w:r>
              <w:rPr>
                <w:b/>
                <w:color w:val="FFFFFF"/>
                <w:sz w:val="19"/>
              </w:rPr>
              <w:t>Cumple</w:t>
            </w:r>
          </w:p>
        </w:tc>
        <w:tc>
          <w:tcPr>
            <w:tcW w:type="dxa" w:w="1474"/>
            <w:shd w:val="clear" w:color="auto" w:fill="0B5CAD"/>
          </w:tcPr>
          <w:p>
            <w:pPr>
              <w:jc w:val="center"/>
            </w:pPr>
            <w:r/>
            <w:r>
              <w:rPr>
                <w:b/>
                <w:color w:val="FFFFFF"/>
                <w:sz w:val="19"/>
              </w:rPr>
              <w:t>No cumple</w:t>
            </w:r>
          </w:p>
        </w:tc>
      </w:tr>
      <w:tr>
        <w:tc>
          <w:tcPr>
            <w:tcW w:type="dxa" w:w="567"/>
          </w:tcPr>
          <w:p>
            <w:pPr>
              <w:jc w:val="center"/>
            </w:pPr>
            <w:r/>
            <w:r>
              <w:rPr>
                <w:b/>
                <w:sz w:val="19"/>
              </w:rPr>
              <w:t>3a</w:t>
            </w:r>
          </w:p>
        </w:tc>
        <w:tc>
          <w:tcPr>
            <w:tcW w:type="dxa" w:w="6236"/>
          </w:tcPr>
          <w:p>
            <w:r/>
            <w:r>
              <w:rPr>
                <w:b w:val="0"/>
                <w:sz w:val="19"/>
              </w:rPr>
              <w:t>Métricas del carrito con el AWS SDK</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3b</w:t>
            </w:r>
          </w:p>
        </w:tc>
        <w:tc>
          <w:tcPr>
            <w:tcW w:type="dxa" w:w="6236"/>
          </w:tcPr>
          <w:p>
            <w:r/>
            <w:r>
              <w:rPr>
                <w:b w:val="0"/>
                <w:sz w:val="19"/>
              </w:rPr>
              <w:t>Gráfica, alarma y usuarios simulados</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3c</w:t>
            </w:r>
          </w:p>
        </w:tc>
        <w:tc>
          <w:tcPr>
            <w:tcW w:type="dxa" w:w="6236"/>
          </w:tcPr>
          <w:p>
            <w:r/>
            <w:r>
              <w:rPr>
                <w:b w:val="0"/>
                <w:sz w:val="19"/>
              </w:rPr>
              <w:t>Credenciales de pago seguras</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3d</w:t>
            </w:r>
          </w:p>
        </w:tc>
        <w:tc>
          <w:tcPr>
            <w:tcW w:type="dxa" w:w="6236"/>
          </w:tcPr>
          <w:p>
            <w:r/>
            <w:r>
              <w:rPr>
                <w:b w:val="0"/>
                <w:sz w:val="19"/>
              </w:rPr>
              <w:t>Pago con tarjeta de prueba</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t>3e</w:t>
            </w:r>
          </w:p>
        </w:tc>
        <w:tc>
          <w:tcPr>
            <w:tcW w:type="dxa" w:w="6236"/>
          </w:tcPr>
          <w:p>
            <w:r/>
            <w:r>
              <w:rPr>
                <w:b w:val="0"/>
                <w:sz w:val="19"/>
              </w:rPr>
              <w:t>Confirmación segura al volver</w:t>
            </w:r>
          </w:p>
        </w:tc>
        <w:tc>
          <w:tcPr>
            <w:tcW w:type="dxa" w:w="1361"/>
          </w:tcPr>
          <w:p>
            <w:pPr>
              <w:jc w:val="center"/>
            </w:pPr>
            <w:r/>
            <w:r>
              <w:rPr>
                <w:b w:val="0"/>
                <w:sz w:val="19"/>
              </w:rPr>
              <w:t>☐</w:t>
            </w:r>
          </w:p>
        </w:tc>
        <w:tc>
          <w:tcPr>
            <w:tcW w:type="dxa" w:w="1474"/>
          </w:tcPr>
          <w:p>
            <w:pPr>
              <w:jc w:val="center"/>
            </w:pPr>
            <w:r/>
            <w:r>
              <w:rPr>
                <w:b w:val="0"/>
                <w:sz w:val="19"/>
              </w:rPr>
              <w:t>☐</w:t>
            </w:r>
          </w:p>
        </w:tc>
      </w:tr>
      <w:tr>
        <w:tc>
          <w:tcPr>
            <w:tcW w:type="dxa" w:w="567"/>
          </w:tcPr>
          <w:p>
            <w:pPr>
              <w:jc w:val="center"/>
            </w:pPr>
            <w:r/>
            <w:r>
              <w:rPr>
                <w:b/>
                <w:sz w:val="19"/>
              </w:rPr>
            </w:r>
          </w:p>
        </w:tc>
        <w:tc>
          <w:tcPr>
            <w:tcW w:type="dxa" w:w="6236"/>
          </w:tcPr>
          <w:p>
            <w:r/>
            <w:r>
              <w:rPr>
                <w:b w:val="0"/>
                <w:sz w:val="19"/>
              </w:rPr>
              <w:t>Puntaje del bloque (5 o 0)</w:t>
            </w:r>
          </w:p>
        </w:tc>
        <w:tc>
          <w:tcPr>
            <w:tcW w:type="dxa" w:w="1361"/>
          </w:tcPr>
          <w:p>
            <w:pPr>
              <w:jc w:val="center"/>
            </w:pPr>
            <w:r/>
            <w:r>
              <w:rPr>
                <w:b w:val="0"/>
                <w:sz w:val="19"/>
              </w:rPr>
            </w:r>
          </w:p>
        </w:tc>
        <w:tc>
          <w:tcPr>
            <w:tcW w:type="dxa" w:w="1474"/>
          </w:tcPr>
          <w:p>
            <w:pPr>
              <w:jc w:val="center"/>
            </w:pPr>
            <w:r/>
            <w:r>
              <w:rPr>
                <w:b w:val="0"/>
                <w:sz w:val="19"/>
              </w:rPr>
              <w:t>____</w:t>
            </w:r>
          </w:p>
        </w:tc>
      </w:tr>
    </w:tbl>
    <w:p>
      <w:pPr>
        <w:spacing w:after="120"/>
      </w:pPr>
    </w:p>
    <w:p>
      <w:pPr>
        <w:keepNext/>
        <w:spacing w:after="40"/>
      </w:pPr>
      <w:r>
        <w:rPr>
          <w:b/>
          <w:i w:val="0"/>
          <w:color w:val="0B5CAD"/>
        </w:rPr>
        <w:t>Bloque 4: Sustentación</w:t>
      </w:r>
    </w:p>
    <w:tbl>
      <w:tblPr>
        <w:tblStyle w:val="TableGrid"/>
        <w:tblW w:type="auto" w:w="0"/>
        <w:jc w:val="center"/>
        <w:tblLook w:firstColumn="1" w:firstRow="1" w:lastColumn="0" w:lastRow="0" w:noHBand="0" w:noVBand="1" w:val="04A0"/>
      </w:tblPr>
      <w:tblGrid>
        <w:gridCol w:w="3213"/>
        <w:gridCol w:w="3213"/>
        <w:gridCol w:w="3213"/>
      </w:tblGrid>
      <w:tr>
        <w:tc>
          <w:tcPr>
            <w:tcW w:type="dxa" w:w="5102"/>
            <w:shd w:val="clear" w:color="auto" w:fill="0B5CAD"/>
          </w:tcPr>
          <w:p>
            <w:r/>
            <w:r>
              <w:rPr>
                <w:b/>
                <w:color w:val="FFFFFF"/>
                <w:sz w:val="19"/>
              </w:rPr>
              <w:t>Integrante</w:t>
            </w:r>
          </w:p>
        </w:tc>
        <w:tc>
          <w:tcPr>
            <w:tcW w:type="dxa" w:w="1984"/>
            <w:shd w:val="clear" w:color="auto" w:fill="0B5CAD"/>
          </w:tcPr>
          <w:p>
            <w:r/>
            <w:r>
              <w:rPr>
                <w:b/>
                <w:color w:val="FFFFFF"/>
                <w:sz w:val="19"/>
              </w:rPr>
              <w:t>N.º de pregunta</w:t>
            </w:r>
          </w:p>
        </w:tc>
        <w:tc>
          <w:tcPr>
            <w:tcW w:type="dxa" w:w="2551"/>
            <w:shd w:val="clear" w:color="auto" w:fill="0B5CAD"/>
          </w:tcPr>
          <w:p>
            <w:r/>
            <w:r>
              <w:rPr>
                <w:b/>
                <w:color w:val="FFFFFF"/>
                <w:sz w:val="19"/>
              </w:rPr>
              <w:t>Sustenta</w:t>
            </w:r>
          </w:p>
        </w:tc>
      </w:tr>
      <w:tr>
        <w:tc>
          <w:tcPr>
            <w:tcW w:type="dxa" w:w="5102"/>
          </w:tcPr>
          <w:p>
            <w:r/>
            <w:r>
              <w:rPr>
                <w:b w:val="0"/>
                <w:sz w:val="19"/>
              </w:rPr>
              <w:t>1.</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2.</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3.</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4.</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5.</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6.</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7.</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8.</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9.</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10.</w:t>
            </w:r>
          </w:p>
        </w:tc>
        <w:tc>
          <w:tcPr>
            <w:tcW w:type="dxa" w:w="1984"/>
          </w:tcPr>
          <w:p>
            <w:r/>
            <w:r>
              <w:rPr>
                <w:b w:val="0"/>
                <w:sz w:val="19"/>
              </w:rPr>
            </w:r>
          </w:p>
        </w:tc>
        <w:tc>
          <w:tcPr>
            <w:tcW w:type="dxa" w:w="2551"/>
          </w:tcPr>
          <w:p>
            <w:r/>
            <w:r>
              <w:rPr>
                <w:b w:val="0"/>
                <w:sz w:val="19"/>
              </w:rPr>
              <w:t>☐ Sí   ☐ No</w:t>
            </w:r>
          </w:p>
        </w:tc>
      </w:tr>
      <w:tr>
        <w:tc>
          <w:tcPr>
            <w:tcW w:type="dxa" w:w="5102"/>
          </w:tcPr>
          <w:p>
            <w:r/>
            <w:r>
              <w:rPr>
                <w:b w:val="0"/>
                <w:sz w:val="19"/>
              </w:rPr>
              <w:t>Puntaje del bloque (5 si todos sustentan; 0 si uno no)</w:t>
            </w:r>
          </w:p>
        </w:tc>
        <w:tc>
          <w:tcPr>
            <w:tcW w:type="dxa" w:w="1984"/>
          </w:tcPr>
          <w:p>
            <w:r/>
            <w:r>
              <w:rPr>
                <w:b w:val="0"/>
                <w:sz w:val="19"/>
              </w:rPr>
            </w:r>
          </w:p>
        </w:tc>
        <w:tc>
          <w:tcPr>
            <w:tcW w:type="dxa" w:w="2551"/>
          </w:tcPr>
          <w:p>
            <w:r/>
            <w:r>
              <w:rPr>
                <w:b w:val="0"/>
                <w:sz w:val="19"/>
              </w:rPr>
              <w:t>____</w:t>
            </w:r>
          </w:p>
        </w:tc>
      </w:tr>
    </w:tbl>
    <w:p>
      <w:pPr>
        <w:spacing w:after="120"/>
      </w:pPr>
    </w:p>
    <w:tbl>
      <w:tblPr>
        <w:tblStyle w:val="TableGrid"/>
        <w:tblW w:type="auto" w:w="0"/>
        <w:jc w:val="center"/>
        <w:tblLook w:firstColumn="1" w:firstRow="1" w:lastColumn="0" w:lastRow="0" w:noHBand="0" w:noVBand="1" w:val="04A0"/>
      </w:tblPr>
      <w:tblGrid>
        <w:gridCol w:w="4819"/>
        <w:gridCol w:w="4819"/>
      </w:tblGrid>
      <w:tr>
        <w:tc>
          <w:tcPr>
            <w:tcW w:type="dxa" w:w="6803"/>
            <w:shd w:val="clear" w:color="auto" w:fill="0B5CAD"/>
          </w:tcPr>
          <w:p>
            <w:r/>
            <w:r>
              <w:rPr>
                <w:b/>
                <w:color w:val="FFFFFF"/>
                <w:sz w:val="19"/>
              </w:rPr>
              <w:t>Resumen</w:t>
            </w:r>
          </w:p>
        </w:tc>
        <w:tc>
          <w:tcPr>
            <w:tcW w:type="dxa" w:w="2835"/>
            <w:shd w:val="clear" w:color="auto" w:fill="0B5CAD"/>
          </w:tcPr>
          <w:p>
            <w:pPr>
              <w:jc w:val="center"/>
            </w:pPr>
            <w:r/>
            <w:r>
              <w:rPr>
                <w:b/>
                <w:color w:val="FFFFFF"/>
                <w:sz w:val="19"/>
              </w:rPr>
              <w:t>Puntos</w:t>
            </w:r>
          </w:p>
        </w:tc>
      </w:tr>
      <w:tr>
        <w:tc>
          <w:tcPr>
            <w:tcW w:type="dxa" w:w="6803"/>
          </w:tcPr>
          <w:p>
            <w:r/>
            <w:r>
              <w:rPr>
                <w:b/>
                <w:sz w:val="19"/>
              </w:rPr>
              <w:t>Bloque 1</w:t>
            </w:r>
          </w:p>
        </w:tc>
        <w:tc>
          <w:tcPr>
            <w:tcW w:type="dxa" w:w="2835"/>
          </w:tcPr>
          <w:p>
            <w:pPr>
              <w:jc w:val="center"/>
            </w:pPr>
            <w:r/>
            <w:r>
              <w:rPr>
                <w:b w:val="0"/>
                <w:sz w:val="19"/>
              </w:rPr>
              <w:t>____</w:t>
            </w:r>
          </w:p>
        </w:tc>
      </w:tr>
      <w:tr>
        <w:tc>
          <w:tcPr>
            <w:tcW w:type="dxa" w:w="6803"/>
          </w:tcPr>
          <w:p>
            <w:r/>
            <w:r>
              <w:rPr>
                <w:b/>
                <w:sz w:val="19"/>
              </w:rPr>
              <w:t>Bloque 2</w:t>
            </w:r>
          </w:p>
        </w:tc>
        <w:tc>
          <w:tcPr>
            <w:tcW w:type="dxa" w:w="2835"/>
          </w:tcPr>
          <w:p>
            <w:pPr>
              <w:jc w:val="center"/>
            </w:pPr>
            <w:r/>
            <w:r>
              <w:rPr>
                <w:b w:val="0"/>
                <w:sz w:val="19"/>
              </w:rPr>
              <w:t>____</w:t>
            </w:r>
          </w:p>
        </w:tc>
      </w:tr>
      <w:tr>
        <w:tc>
          <w:tcPr>
            <w:tcW w:type="dxa" w:w="6803"/>
          </w:tcPr>
          <w:p>
            <w:r/>
            <w:r>
              <w:rPr>
                <w:b/>
                <w:sz w:val="19"/>
              </w:rPr>
              <w:t>Bloque 3</w:t>
            </w:r>
          </w:p>
        </w:tc>
        <w:tc>
          <w:tcPr>
            <w:tcW w:type="dxa" w:w="2835"/>
          </w:tcPr>
          <w:p>
            <w:pPr>
              <w:jc w:val="center"/>
            </w:pPr>
            <w:r/>
            <w:r>
              <w:rPr>
                <w:b w:val="0"/>
                <w:sz w:val="19"/>
              </w:rPr>
              <w:t>____</w:t>
            </w:r>
          </w:p>
        </w:tc>
      </w:tr>
      <w:tr>
        <w:tc>
          <w:tcPr>
            <w:tcW w:type="dxa" w:w="6803"/>
          </w:tcPr>
          <w:p>
            <w:r/>
            <w:r>
              <w:rPr>
                <w:b/>
                <w:sz w:val="19"/>
              </w:rPr>
              <w:t>Bloque 4</w:t>
            </w:r>
          </w:p>
        </w:tc>
        <w:tc>
          <w:tcPr>
            <w:tcW w:type="dxa" w:w="2835"/>
          </w:tcPr>
          <w:p>
            <w:pPr>
              <w:jc w:val="center"/>
            </w:pPr>
            <w:r/>
            <w:r>
              <w:rPr>
                <w:b w:val="0"/>
                <w:sz w:val="19"/>
              </w:rPr>
              <w:t>____</w:t>
            </w:r>
          </w:p>
        </w:tc>
      </w:tr>
      <w:tr>
        <w:tc>
          <w:tcPr>
            <w:tcW w:type="dxa" w:w="6803"/>
          </w:tcPr>
          <w:p>
            <w:r/>
            <w:r>
              <w:rPr>
                <w:b/>
                <w:sz w:val="19"/>
              </w:rPr>
              <w:t>Nota final (0, 5, 10, 15 o 20)</w:t>
            </w:r>
          </w:p>
        </w:tc>
        <w:tc>
          <w:tcPr>
            <w:tcW w:type="dxa" w:w="2835"/>
          </w:tcPr>
          <w:p>
            <w:pPr>
              <w:jc w:val="center"/>
            </w:pPr>
            <w:r/>
            <w:r>
              <w:rPr>
                <w:b w:val="0"/>
                <w:sz w:val="19"/>
              </w:rPr>
              <w:t>____</w:t>
            </w:r>
          </w:p>
        </w:tc>
      </w:tr>
    </w:tbl>
    <w:p>
      <w:pPr>
        <w:spacing w:after="160"/>
      </w:pPr>
    </w:p>
    <w:p>
      <w:pPr>
        <w:spacing w:after="80"/>
      </w:pPr>
      <w:r>
        <w:rPr>
          <w:b w:val="0"/>
          <w:i w:val="0"/>
        </w:rPr>
        <w:t>Observaciones: ________________________________________________________________________</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5CA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5CA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D252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D25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jjfrancia/tiendaonline/discussions" TargetMode="External"/><Relationship Id="rId10" Type="http://schemas.openxmlformats.org/officeDocument/2006/relationships/hyperlink" Target="https://github.com/jjjfrancia/tiendaonline/blob/main/infra/github-oidc.yaml" TargetMode="External"/><Relationship Id="rId11" Type="http://schemas.openxmlformats.org/officeDocument/2006/relationships/hyperlink" Target="https://github.com/jjjfrancia/tiendaonline/blob/main/.github/workflows/deploy-aws.yml" TargetMode="External"/><Relationship Id="rId12" Type="http://schemas.openxmlformats.org/officeDocument/2006/relationships/hyperlink" Target="https://github.com/jjjfrancia/tiendaonline/blob/main/Views/Shared/_Layout.cshtml" TargetMode="External"/><Relationship Id="rId13" Type="http://schemas.openxmlformats.org/officeDocument/2006/relationships/hyperlink" Target="https://github.com/jjjfrancia/tiendaonline/blob/main/Services/BusinessMetrics.cs" TargetMode="External"/><Relationship Id="rId14" Type="http://schemas.openxmlformats.org/officeDocument/2006/relationships/hyperlink" Target="https://github.com/jjjfrancia/tiendaonline/blob/main/Services/DatabaseSecret.cs" TargetMode="External"/><Relationship Id="rId15" Type="http://schemas.openxmlformats.org/officeDocument/2006/relationships/hyperlink" Target="https://github.com/jjjfrancia/tiendaonline/blob/main/scripts/analizar-red.sh" TargetMode="External"/><Relationship Id="rId16" Type="http://schemas.openxmlformats.org/officeDocument/2006/relationships/hyperlink" Target="https://github.com/jjjfrancia/tiendaonline/blob/main/infra/urponline-oneclick.yaml" TargetMode="External"/><Relationship Id="rId17" Type="http://schemas.openxmlformats.org/officeDocument/2006/relationships/hyperlink" Target="https://github.com/jjjfrancia/tiendaonline/blob/main/Program.cs" TargetMode="External"/><Relationship Id="rId18" Type="http://schemas.openxmlformats.org/officeDocument/2006/relationships/hyperlink" Target="https://github.com/jjjfrancia/tiendaonline/blob/main/scripts/pgbouncer.ini.example" TargetMode="External"/><Relationship Id="rId19" Type="http://schemas.openxmlformats.org/officeDocument/2006/relationships/hyperlink" Target="https://github.com/jjjfrancia/tiendaonline/blob/main/Data/Migrations/" TargetMode="External"/><Relationship Id="rId20" Type="http://schemas.openxmlformats.org/officeDocument/2006/relationships/hyperlink" Target="https://github.com/jjjfrancia/tiendaonline/blob/main/Services/ProductEmbeddingIndexer.cs" TargetMode="External"/><Relationship Id="rId21" Type="http://schemas.openxmlformats.org/officeDocument/2006/relationships/hyperlink" Target="https://github.com/jjjfrancia/tiendaonline/blob/main/Services/ProductVectorStore.cs" TargetMode="External"/><Relationship Id="rId22" Type="http://schemas.openxmlformats.org/officeDocument/2006/relationships/hyperlink" Target="https://github.com/jjjfrancia/tiendaonline/blob/main/appsettings.json" TargetMode="External"/><Relationship Id="rId23" Type="http://schemas.openxmlformats.org/officeDocument/2006/relationships/hyperlink" Target="https://github.com/jjjfrancia/tiendaonline/blob/main/Controllers/CartController.cs" TargetMode="External"/><Relationship Id="rId24" Type="http://schemas.openxmlformats.org/officeDocument/2006/relationships/hyperlink" Target="https://github.com/jjjfrancia/tiendaonline/blob/main/Controllers/CheckoutController.cs" TargetMode="External"/><Relationship Id="rId25" Type="http://schemas.openxmlformats.org/officeDocument/2006/relationships/hyperlink" Target="https://github.com/jjjfrancia/tiendaonline/blob/main/Controllers/PaymentsController.cs" TargetMode="External"/><Relationship Id="rId26" Type="http://schemas.openxmlformats.org/officeDocument/2006/relationships/hyperlink" Target="https://github.com/jjjfrancia/tiendaonline/blob/main/Views/Checkout/Success.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Rúbrica de evaluación: caso URPOnline en AWS</dc:title>
  <dc:subject/>
  <dc:creator>Curso AWS Fundamentos</dc:creator>
  <cp:keywords/>
  <dc:description>generated by python-docx</dc:description>
  <cp:lastModifiedBy/>
  <cp:revision>1</cp:revision>
  <dcterms:created xsi:type="dcterms:W3CDTF">2013-12-23T23:15:00Z</dcterms:created>
  <dcterms:modified xsi:type="dcterms:W3CDTF">2013-12-23T23:15:00Z</dcterms:modified>
  <cp:category/>
</cp:coreProperties>
</file>