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Video del proceso completo, hasta el viernes 23 de octubre de 2026</w:t>
      </w:r>
    </w:p>
    <w:p>
      <w:pPr>
        <w:pStyle w:val="ListBullet"/>
        <w:spacing w:after="40"/>
      </w:pPr>
      <w:r>
        <w:t>Muestra toda la implementación, de principio a fin: configuración del fork,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fork.</w:t>
      </w:r>
    </w:p>
    <w:p>
      <w:pPr>
        <w:pStyle w:val="Heading2"/>
      </w:pPr>
      <w:r>
        <w:t>Requisito 2: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 y la ejecución se ve en el video.</w:t>
      </w:r>
    </w:p>
    <w:p>
      <w:pPr>
        <w:spacing w:after="120"/>
      </w:pPr>
    </w:p>
    <w:p>
      <w:pPr>
        <w:pStyle w:val="Heading1"/>
      </w:pPr>
      <w:r>
        <w:t>Reglas generales</w:t>
      </w:r>
    </w:p>
    <w:p>
      <w:pPr>
        <w:spacing w:after="60"/>
      </w:pPr>
      <w:r>
        <w:rPr>
          <w:b/>
        </w:rPr>
        <w:t xml:space="preserve">1.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2.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3. </w:t>
      </w:r>
      <w:r>
        <w:t>Todo entra por GitHub Actions. Cada cambio (código, YAML, migraciones, PgBouncer, métricas, pago) se sube con un push al fork del grupo y el pipeline lo despliega. Lo que se haga a mano (crear recursos en la consola, copiar archivos a la EC2, aws cloudformation deploy desde la PC) no cuenta.</w:t>
      </w:r>
    </w:p>
    <w:p>
      <w:pPr>
        <w:spacing w:after="60"/>
      </w:pPr>
      <w:r>
        <w:rPr>
          <w:b/>
        </w:rPr>
        <w:t xml:space="preserve">4. </w:t>
      </w:r>
      <w:r>
        <w:t>Cero secretos expuestos. Si una contraseña, clave de AWS o token de pago aparece en GitHub, en una captura, en el video o en los logs, el indicador no se cumple.</w:t>
      </w:r>
    </w:p>
    <w:p>
      <w:pPr>
        <w:spacing w:after="60"/>
      </w:pPr>
      <w:r>
        <w:rPr>
          <w:b/>
        </w:rPr>
        <w:t xml:space="preserve">5. </w:t>
      </w:r>
      <w:r>
        <w:t>Pagos solo de prueba. Prohibido usar tarjetas reales, credenciales de producción o la cuenta personal de Mercado Pago. Si se usan, el bloque 3 vale 0 aunque funcione.</w:t>
      </w:r>
    </w:p>
    <w:p>
      <w:pPr>
        <w:spacing w:after="60"/>
      </w:pPr>
      <w:r>
        <w:rPr>
          <w:b/>
        </w:rPr>
        <w:t xml:space="preserve">6. </w:t>
      </w:r>
      <w:r>
        <w:t>Se demuestra en vivo, en la cuenta de AWS del grupo. Las capturas solo sirven como respaldo.</w:t>
      </w:r>
    </w:p>
    <w:p>
      <w:pPr>
        <w:spacing w:after="60"/>
      </w:pPr>
      <w:r>
        <w:rPr>
          <w:b/>
        </w:rPr>
        <w:t xml:space="preserve">7. </w:t>
      </w:r>
      <w:r>
        <w:t>Al terminar, el grupo borra todo con el workflow destroy-aws y muestra que no quedan recursos cobrando.</w:t>
      </w:r>
    </w:p>
    <w:p>
      <w:r>
        <w:br w:type="page"/>
      </w:r>
    </w:p>
    <w:p>
      <w:pPr>
        <w:pStyle w:val="Heading1"/>
      </w:pPr>
      <w:r>
        <w:t>Bloque 1: Despliegue, AWS SDK y fallas (5 puntos, todo o nada)</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pStyle w:val="Heading2"/>
      </w:pPr>
      <w:r>
        <w:t>1a. Pipeline: primer despliegue y cambio automático</w:t>
      </w:r>
    </w:p>
    <w:p>
      <w:pPr>
        <w:spacing w:after="60"/>
      </w:pPr>
      <w:r>
        <w:rPr>
          <w:b/>
          <w:color w:val="0B5CAD"/>
        </w:rPr>
        <w:t xml:space="preserve">Qué hace el grupo: </w:t>
      </w:r>
      <w:r>
        <w:t>Antes de la presentación: fork; despliegue de infra/github-oidc.yaml con su usuario de GitHub y el nombre de su repositorio (rol que GitHub usa para entrar a AWS sin claves, anexo A); secretos AWS_ROLE_ARN y DB_PASSWORD en el fork; primer despliegue con el pipeline (unos 25 minutos). En vivo: un cambio visible en Views/Shared/_Layout.cshtml (por ejemplo, un banner de Cyber Monday), commit y push a main; el pipeline lo despliega solo y CloudFormation reemplaza las EC2 de a una, sin cortar la tienda.</w:t>
      </w:r>
    </w:p>
    <w:p>
      <w:pPr>
        <w:spacing w:after="60"/>
      </w:pPr>
      <w:r>
        <w:rPr>
          <w:b/>
          <w:color w:val="0B5CAD"/>
        </w:rPr>
        <w:t xml:space="preserve">Cómo lo demuestra: </w:t>
      </w:r>
      <w:r>
        <w:t>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w:t>
      </w:r>
    </w:p>
    <w:p>
      <w:pPr>
        <w:spacing w:after="60"/>
      </w:pPr>
      <w:r>
        <w:rPr>
          <w:b/>
          <w:color w:val="0B5CAD"/>
        </w:rPr>
        <w:t xml:space="preserve">Qué debe poder explicar: </w:t>
      </w:r>
      <w:r>
        <w:t>Por qué OIDC es más seguro que guardar una Access Key en GitHub.</w:t>
      </w:r>
    </w:p>
    <w:p>
      <w:pPr>
        <w:spacing w:after="200"/>
        <w:ind w:left="170"/>
        <w:shd w:val="clear" w:color="auto" w:fill="E8F5EC"/>
        <w:pBdr>
          <w:left w:val="single" w:sz="18" w:space="6" w:color="1A7F37"/>
        </w:pBdr>
      </w:pPr>
      <w:r>
        <w:rPr>
          <w:b/>
          <w:color w:val="1A7F37"/>
        </w:rPr>
        <w:t xml:space="preserve">Cumple si: </w:t>
      </w:r>
      <w:r>
        <w:t>Tienda por HTTPS con balanceo, búsqueda y compra, desplegada por el pipeline, y el cambio en vivo llega solo, con commit, ejecución y tienda coincidentes.</w:t>
      </w:r>
    </w:p>
    <w:p>
      <w:pPr>
        <w:pStyle w:val="Heading2"/>
      </w:pPr>
      <w:r>
        <w:t>1b. AWS SDK configurado y en uso, sin claves</w:t>
      </w:r>
    </w:p>
    <w:p>
      <w:pPr>
        <w:spacing w:after="60"/>
      </w:pPr>
      <w:r>
        <w:rPr>
          <w:b/>
          <w:color w:val="0B5CAD"/>
        </w:rPr>
        <w:t xml:space="preserve">Qué hace el grupo: </w:t>
      </w:r>
      <w:r>
        <w:t>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w:t>
      </w:r>
    </w:p>
    <w:p>
      <w:pPr>
        <w:spacing w:after="60"/>
      </w:pPr>
      <w:r>
        <w:rPr>
          <w:b/>
          <w:color w:val="0B5CAD"/>
        </w:rPr>
        <w:t xml:space="preserve">Cómo lo demuestra: </w:t>
      </w:r>
      <w:r>
        <w:t>Una compra y la venta en CloudWatch → Metrics → URPOnline. En la EC2 (Session Manager): no existe .aws ni variables AWS_ACCESS_KEY_ID, y aun así la app envía métricas y lee el secreto. En IAM, el rol de la EC2 con PutMetricData y GetSecretValue solo sobre ese secreto.</w:t>
      </w:r>
    </w:p>
    <w:p>
      <w:pPr>
        <w:spacing w:after="60"/>
      </w:pPr>
      <w:r>
        <w:rPr>
          <w:b/>
          <w:color w:val="0B5CAD"/>
        </w:rPr>
        <w:t xml:space="preserve">Qué debe poder explicar: </w:t>
      </w:r>
      <w:r>
        <w:t>Por qué en la EC2 no hacen falta claves; mínimo privilegio; qué pasaría si se subiera una Access Key a GitHub.</w:t>
      </w:r>
    </w:p>
    <w:p>
      <w:pPr>
        <w:spacing w:after="200"/>
        <w:ind w:left="170"/>
        <w:shd w:val="clear" w:color="auto" w:fill="E8F5EC"/>
        <w:pBdr>
          <w:left w:val="single" w:sz="18" w:space="6" w:color="1A7F37"/>
        </w:pBdr>
      </w:pPr>
      <w:r>
        <w:rPr>
          <w:b/>
          <w:color w:val="1A7F37"/>
        </w:rPr>
        <w:t xml:space="preserve">Cumple si: </w:t>
      </w:r>
      <w:r>
        <w:t>Métricas llegando desde AWS, EC2 sin claves y el rol IAM explicado; ninguna Access Key escrita en código, configuración o servidor.</w:t>
      </w:r>
    </w:p>
    <w:p>
      <w:pPr>
        <w:pStyle w:val="Heading2"/>
      </w:pPr>
      <w:r>
        <w:t>1c. Cae un servidor</w:t>
      </w:r>
    </w:p>
    <w:p>
      <w:pPr>
        <w:spacing w:after="60"/>
      </w:pPr>
      <w:r>
        <w:rPr>
          <w:b/>
          <w:color w:val="0B5CAD"/>
        </w:rPr>
        <w:t xml:space="preserve">Qué hace el grupo: </w:t>
      </w:r>
      <w:r>
        <w:t>Agrega productos al carrito, termina (destruye) una de las dos EC2 (anexo B, paso 1) y recarga la tienda varias veces.</w:t>
      </w:r>
    </w:p>
    <w:p>
      <w:pPr>
        <w:spacing w:after="60"/>
      </w:pPr>
      <w:r>
        <w:rPr>
          <w:b/>
          <w:color w:val="0B5CAD"/>
        </w:rPr>
        <w:t xml:space="preserve">Cómo lo demuestra: </w:t>
      </w:r>
      <w:r>
        <w:t>La tienda sigue respondiendo y «Servido por» muestra solo la sobreviviente; el carrito sigue intacto; en EC2 → Auto Scaling Groups → Activity se ve el servidor terminado y el nuevo.</w:t>
      </w:r>
    </w:p>
    <w:p>
      <w:pPr>
        <w:spacing w:after="60"/>
      </w:pPr>
      <w:r>
        <w:rPr>
          <w:b/>
          <w:color w:val="0B5CAD"/>
        </w:rPr>
        <w:t xml:space="preserve">Qué debe poder explicar: </w:t>
      </w:r>
      <w:r>
        <w:t>Por qué el carrito no se perdió: está en Redis, no en la memoria del servidor.</w:t>
      </w:r>
    </w:p>
    <w:p>
      <w:pPr>
        <w:spacing w:after="200"/>
        <w:ind w:left="170"/>
        <w:shd w:val="clear" w:color="auto" w:fill="E8F5EC"/>
        <w:pBdr>
          <w:left w:val="single" w:sz="18" w:space="6" w:color="1A7F37"/>
        </w:pBdr>
      </w:pPr>
      <w:r>
        <w:rPr>
          <w:b/>
          <w:color w:val="1A7F37"/>
        </w:rPr>
        <w:t xml:space="preserve">Cumple si: </w:t>
      </w:r>
      <w:r>
        <w:t>La tienda sigue, el carrito se mantiene y se ve el reemplazo automático.</w:t>
      </w:r>
    </w:p>
    <w:p>
      <w:pPr>
        <w:pStyle w:val="Heading2"/>
      </w:pPr>
      <w:r>
        <w:t>1d. Cae una zona completa</w:t>
      </w:r>
    </w:p>
    <w:p>
      <w:pPr>
        <w:spacing w:after="60"/>
      </w:pPr>
      <w:r>
        <w:rPr>
          <w:b/>
          <w:color w:val="0B5CAD"/>
        </w:rPr>
        <w:t xml:space="preserve">Qué hace el grupo: </w:t>
      </w:r>
      <w:r>
        <w:t>Simula la caída de la zona A: le pone a la subred de la aplicación de esa zona (10.0.11.0/24) una NACL nueva, que bloquea todo, y fuerza el cambio de Redis a su copia (anexo B, paso 2). Mientras tanto sigue comprando.</w:t>
      </w:r>
    </w:p>
    <w:p>
      <w:pPr>
        <w:spacing w:after="60"/>
      </w:pPr>
      <w:r>
        <w:rPr>
          <w:b/>
          <w:color w:val="0B5CAD"/>
        </w:rPr>
        <w:t xml:space="preserve">Cómo lo demuestra: </w:t>
      </w:r>
      <w:r>
        <w:t>El Target Group con la zona A en unhealthy y la zona B en healthy; una compra hecha durante la caída; en ElastiCache, el nodo principal cambiado.</w:t>
      </w:r>
    </w:p>
    <w:p>
      <w:pPr>
        <w:spacing w:after="60"/>
      </w:pPr>
      <w:r>
        <w:rPr>
          <w:b/>
          <w:color w:val="0B5CAD"/>
        </w:rPr>
        <w:t xml:space="preserve">Qué debe poder explicar: </w:t>
      </w:r>
      <w:r>
        <w:t>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Zona A aislada, tienda vendiendo desde la zona B y failover de Redis hecho.</w:t>
      </w:r>
    </w:p>
    <w:p>
      <w:pPr>
        <w:pStyle w:val="Heading2"/>
      </w:pPr>
      <w:r>
        <w:t>1e. Evidencia de la caída y restauración</w:t>
      </w:r>
    </w:p>
    <w:p>
      <w:pPr>
        <w:spacing w:after="60"/>
      </w:pPr>
      <w:r>
        <w:rPr>
          <w:b/>
          <w:color w:val="0B5CAD"/>
        </w:rPr>
        <w:t xml:space="preserve">Qué hace el grupo: </w:t>
      </w:r>
      <w:r>
        <w:t>Reúne la evidencia de la caída de zona (anexo B, paso 3) y la restaura (paso 4).</w:t>
      </w:r>
    </w:p>
    <w:p>
      <w:pPr>
        <w:spacing w:after="60"/>
      </w:pPr>
      <w:r>
        <w:rPr>
          <w:b/>
          <w:color w:val="0B5CAD"/>
        </w:rPr>
        <w:t xml:space="preserve">Cómo lo demuestra: </w:t>
      </w:r>
      <w:r>
        <w:t>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200"/>
        <w:ind w:left="170"/>
        <w:shd w:val="clear" w:color="auto" w:fill="E8F5EC"/>
        <w:pBdr>
          <w:left w:val="single" w:sz="18" w:space="6" w:color="1A7F37"/>
        </w:pBdr>
      </w:pPr>
      <w:r>
        <w:rPr>
          <w:b/>
          <w:color w:val="1A7F37"/>
        </w:rPr>
        <w:t xml:space="preserve">Cumple si: </w:t>
      </w:r>
      <w:r>
        <w:t>Las tres evidencias y la restauración.</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 todo o nada)</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pStyle w:val="Heading2"/>
      </w:pPr>
      <w:r>
        <w:t>2a. PgBouncer instalado por el pipeline</w:t>
      </w:r>
    </w:p>
    <w:p>
      <w:pPr>
        <w:spacing w:after="60"/>
      </w:pPr>
      <w:r>
        <w:rPr>
          <w:b/>
          <w:color w:val="0B5CAD"/>
        </w:rPr>
        <w:t xml:space="preserve">Qué hace el grupo: </w:t>
      </w:r>
      <w:r>
        <w:t>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w:t>
      </w:r>
    </w:p>
    <w:p>
      <w:pPr>
        <w:spacing w:after="60"/>
      </w:pPr>
      <w:r>
        <w:rPr>
          <w:b/>
          <w:color w:val="0B5CAD"/>
        </w:rPr>
        <w:t xml:space="preserve">Cómo lo demuestra: </w:t>
      </w:r>
      <w:r>
        <w:t>El diff en GitHub, el pipeline en verde y, por Session Manager, systemctl status pgbouncer funcionando y la conexión de la app en el 6432 (sin la contraseña).</w:t>
      </w:r>
    </w:p>
    <w:p>
      <w:pPr>
        <w:spacing w:after="200"/>
        <w:ind w:left="170"/>
        <w:shd w:val="clear" w:color="auto" w:fill="E8F5EC"/>
        <w:pBdr>
          <w:left w:val="single" w:sz="18" w:space="6" w:color="1A7F37"/>
        </w:pBdr>
      </w:pPr>
      <w:r>
        <w:rPr>
          <w:b/>
          <w:color w:val="1A7F37"/>
        </w:rPr>
        <w:t xml:space="preserve">Cumple si: </w:t>
      </w:r>
      <w:r>
        <w:t>PgBouncer en ambas EC2, desplegado por el pipeline, la app usándolo y las migraciones directas.</w:t>
      </w:r>
    </w:p>
    <w:p>
      <w:pPr>
        <w:pStyle w:val="Heading2"/>
      </w:pPr>
      <w:r>
        <w:t>2b. Prueba de carga con k6</w:t>
      </w:r>
    </w:p>
    <w:p>
      <w:pPr>
        <w:spacing w:after="60"/>
      </w:pPr>
      <w:r>
        <w:rPr>
          <w:b/>
          <w:color w:val="0B5CAD"/>
        </w:rPr>
        <w:t xml:space="preserve">Qué hace el grupo: </w:t>
      </w:r>
      <w:r>
        <w:t>Con el script del anexo C (pruebas/carga.js, en el repositorio) ejecuta desde CloudShell dos pruebas iguales de 5 minutos: primero sin PgBouncer (antes del 2a) y después con PgBouncer. Anota la hora de cada una. No se hace en clase: los resultados se traen y la ejecución se ve en el video.</w:t>
      </w:r>
    </w:p>
    <w:p>
      <w:pPr>
        <w:spacing w:after="60"/>
      </w:pPr>
      <w:r>
        <w:rPr>
          <w:b/>
          <w:color w:val="0B5CAD"/>
        </w:rPr>
        <w:t xml:space="preserve">Cómo lo demuestra: </w:t>
      </w:r>
      <w:r>
        <w:t>El script en GitHub y el resumen de k6 de cada prueba: peticiones por segundo, porcentaje de errores y p95.</w:t>
      </w:r>
    </w:p>
    <w:p>
      <w:pPr>
        <w:spacing w:after="200"/>
        <w:ind w:left="170"/>
        <w:shd w:val="clear" w:color="auto" w:fill="E8F5EC"/>
        <w:pBdr>
          <w:left w:val="single" w:sz="18" w:space="6" w:color="1A7F37"/>
        </w:pBdr>
      </w:pPr>
      <w:r>
        <w:rPr>
          <w:b/>
          <w:color w:val="1A7F37"/>
        </w:rPr>
        <w:t xml:space="preserve">Cumple si: </w:t>
      </w:r>
      <w:r>
        <w:t>Script en el repositorio y dos pruebas comparables, sin y con PgBouncer.</w:t>
      </w:r>
    </w:p>
    <w:p>
      <w:pPr>
        <w:pStyle w:val="Heading2"/>
      </w:pPr>
      <w:r>
        <w:t>2c. Evidencia en CloudWatch e interpretación</w:t>
      </w:r>
    </w:p>
    <w:p>
      <w:pPr>
        <w:spacing w:after="60"/>
      </w:pPr>
      <w:r>
        <w:rPr>
          <w:b/>
          <w:color w:val="0B5CAD"/>
        </w:rPr>
        <w:t xml:space="preserve">Qué hace el grupo: </w:t>
      </w:r>
      <w:r>
        <w:t>Publica las métricas de PgBouncer (un script en cada EC2 consulta SHOW POOLS cada minuto y las envía a CloudWatch) y compara las dos pruebas en el dashboard (anexo C, pasos 4 a 7).</w:t>
      </w:r>
    </w:p>
    <w:p>
      <w:pPr>
        <w:spacing w:after="60"/>
      </w:pPr>
      <w:r>
        <w:rPr>
          <w:b/>
          <w:color w:val="0B5CAD"/>
        </w:rPr>
        <w:t xml:space="preserve">Cómo lo demuestra: </w:t>
      </w:r>
      <w:r>
        <w:t>DatabaseConnections de RDS, errores 5xx y p95/p99 del ALB, CPU de las EC2, métricas de PgBouncer (clientes, conexiones reales, clientes esperando), una alarma disparada durante la carga y la tabla comparativa.</w:t>
      </w:r>
    </w:p>
    <w:p>
      <w:pPr>
        <w:spacing w:after="60"/>
      </w:pPr>
      <w:r>
        <w:rPr>
          <w:b/>
          <w:color w:val="0B5CAD"/>
        </w:rPr>
        <w:t xml:space="preserve">Qué debe poder explicar: </w:t>
      </w:r>
      <w:r>
        <w:t>La interpretación obligatoria: dónde estaba el cuello de botella y con qué métrica se prueba; qué cambió con PgBouncer y por qué; qué se ganó y qué se pagó; cuántos usuarios soporta la tienda y qué cambiarían para soportar el doble.</w:t>
      </w:r>
    </w:p>
    <w:p>
      <w:pPr>
        <w:spacing w:after="200"/>
        <w:ind w:left="170"/>
        <w:shd w:val="clear" w:color="auto" w:fill="E8F5EC"/>
        <w:pBdr>
          <w:left w:val="single" w:sz="18" w:space="6" w:color="1A7F37"/>
        </w:pBdr>
      </w:pPr>
      <w:r>
        <w:rPr>
          <w:b/>
          <w:color w:val="1A7F37"/>
        </w:rPr>
        <w:t xml:space="preserve">Cumple si: </w:t>
      </w:r>
      <w:r>
        <w:t>Comparación completa, métricas de PgBouncer publicadas, alarma disparada e interpretación sustentada con los datos.</w:t>
      </w:r>
    </w:p>
    <w:p>
      <w:pPr>
        <w:pStyle w:val="Heading2"/>
      </w:pPr>
      <w:r>
        <w:t>2d. Más productos por migración y vectores verificados en RDS</w:t>
      </w:r>
    </w:p>
    <w:p>
      <w:pPr>
        <w:spacing w:after="60"/>
      </w:pPr>
      <w:r>
        <w:rPr>
          <w:b/>
          <w:color w:val="0B5CAD"/>
        </w:rPr>
        <w:t xml:space="preserve">Qué hace el grupo: </w:t>
      </w:r>
      <w:r>
        <w:t>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w:t>
      </w:r>
    </w:p>
    <w:p>
      <w:pPr>
        <w:spacing w:after="60"/>
      </w:pPr>
      <w:r>
        <w:rPr>
          <w:b/>
          <w:color w:val="0B5CAD"/>
        </w:rPr>
        <w:t xml:space="preserve">Cómo lo demuestra: </w:t>
      </w:r>
      <w:r>
        <w:t>La migración en GitHub; en la tienda, los productos nuevos; en RDS (psql desde la EC2), el conteo de ProductEmbeddings igual al de productos y la consulta de los 5 productos más parecidos a uno dado, con su similitud.</w:t>
      </w:r>
    </w:p>
    <w:p>
      <w:pPr>
        <w:spacing w:after="60"/>
      </w:pPr>
      <w:r>
        <w:rPr>
          <w:b/>
          <w:color w:val="0B5CAD"/>
        </w:rPr>
        <w:t xml:space="preserve">Qué debe poder explicar: </w:t>
      </w:r>
      <w:r>
        <w:t>Qué representan los 384 números y por qué la calidad de la descripción afecta la búsqueda.</w:t>
      </w:r>
    </w:p>
    <w:p>
      <w:pPr>
        <w:spacing w:after="200"/>
        <w:ind w:left="170"/>
        <w:shd w:val="clear" w:color="auto" w:fill="E8F5EC"/>
        <w:pBdr>
          <w:left w:val="single" w:sz="18" w:space="6" w:color="1A7F37"/>
        </w:pBdr>
      </w:pPr>
      <w:r>
        <w:rPr>
          <w:b/>
          <w:color w:val="1A7F37"/>
        </w:rPr>
        <w:t xml:space="preserve">Cumple si: </w:t>
      </w:r>
      <w:r>
        <w:t>Al menos 30 productos nuevos desplegados por el pipeline, todos con vector, y la consulta de similitud ejecutada y explicada.</w:t>
      </w:r>
    </w:p>
    <w:p>
      <w:pPr>
        <w:pStyle w:val="Heading2"/>
      </w:pPr>
      <w:r>
        <w:t>2e. Experimento de búsqueda e interpretación</w:t>
      </w:r>
    </w:p>
    <w:p>
      <w:pPr>
        <w:spacing w:after="60"/>
      </w:pPr>
      <w:r>
        <w:rPr>
          <w:b/>
          <w:color w:val="0B5CAD"/>
        </w:rPr>
        <w:t xml:space="preserve">Qué hace el grupo: </w:t>
      </w:r>
      <w:r>
        <w:t>Elige 10 búsquedas que no coincidan exactamente con ningún nombre, las prueba con el umbral 0,3 (Embeddings:MinSimilarity en appsettings.json), lo cambia a 0,6 por el pipeline y repite las mismas búsquedas (anexo D, paso 4).</w:t>
      </w:r>
    </w:p>
    <w:p>
      <w:pPr>
        <w:spacing w:after="60"/>
      </w:pPr>
      <w:r>
        <w:rPr>
          <w:b/>
          <w:color w:val="0B5CAD"/>
        </w:rPr>
        <w:t xml:space="preserve">Cómo lo demuestra: </w:t>
      </w:r>
      <w:r>
        <w:t>La tabla de las 10 búsquedas con los relacionados de cada umbral y cuántos tienen sentido.</w:t>
      </w:r>
    </w:p>
    <w:p>
      <w:pPr>
        <w:spacing w:after="60"/>
      </w:pPr>
      <w:r>
        <w:rPr>
          <w:b/>
          <w:color w:val="0B5CAD"/>
        </w:rPr>
        <w:t xml:space="preserve">Qué debe poder explicar: </w:t>
      </w:r>
      <w:r>
        <w:t>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Tabla completa con los dos umbrales, cambio hecho por el pipeline e interpretación sustentada.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 todo o nada)</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pStyle w:val="Heading2"/>
      </w:pPr>
      <w:r>
        <w:t>3a. Métricas del carrito con el AWS SDK</w:t>
      </w:r>
    </w:p>
    <w:p>
      <w:pPr>
        <w:spacing w:after="60"/>
      </w:pPr>
      <w:r>
        <w:rPr>
          <w:b/>
          <w:color w:val="0B5CAD"/>
        </w:rPr>
        <w:t xml:space="preserve">Qué hace el grupo: </w:t>
      </w:r>
      <w:r>
        <w:t>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w:t>
      </w:r>
    </w:p>
    <w:p>
      <w:pPr>
        <w:spacing w:after="60"/>
      </w:pPr>
      <w:r>
        <w:rPr>
          <w:b/>
          <w:color w:val="0B5CAD"/>
        </w:rPr>
        <w:t xml:space="preserve">Cómo lo demuestra: </w:t>
      </w:r>
      <w:r>
        <w:t>Las dos métricas con datos en CloudWatch → Metrics → URPOnline, agregando productos desde varios navegadores.</w:t>
      </w:r>
    </w:p>
    <w:p>
      <w:pPr>
        <w:spacing w:after="200"/>
        <w:ind w:left="170"/>
        <w:shd w:val="clear" w:color="auto" w:fill="E8F5EC"/>
        <w:pBdr>
          <w:left w:val="single" w:sz="18" w:space="6" w:color="1A7F37"/>
        </w:pBdr>
      </w:pPr>
      <w:r>
        <w:rPr>
          <w:b/>
          <w:color w:val="1A7F37"/>
        </w:rPr>
        <w:t xml:space="preserve">Cumple si: </w:t>
      </w:r>
      <w:r>
        <w:t>Las dos métricas con datos correctos (ActiveCarts cuenta personas, no clics).</w:t>
      </w:r>
    </w:p>
    <w:p>
      <w:pPr>
        <w:pStyle w:val="Heading2"/>
      </w:pPr>
      <w:r>
        <w:t>3b. Gráfica, alarma y usuarios simulados</w:t>
      </w:r>
    </w:p>
    <w:p>
      <w:pPr>
        <w:spacing w:after="60"/>
      </w:pPr>
      <w:r>
        <w:rPr>
          <w:b/>
          <w:color w:val="0B5CAD"/>
        </w:rPr>
        <w:t xml:space="preserve">Qué hace el grupo: </w:t>
      </w:r>
      <w:r>
        <w:t>En el YAML: una gráfica con carritos activos y compras juntos (la conversión) y una alarma de carritos abandonados (carritos activos y 0 compras durante 15 minutos). Con k6 simula unos 30 clientes que agregan al carrito sin pagar (cada uno con su sesión y el token del formulario).</w:t>
      </w:r>
    </w:p>
    <w:p>
      <w:pPr>
        <w:spacing w:after="60"/>
      </w:pPr>
      <w:r>
        <w:rPr>
          <w:b/>
          <w:color w:val="0B5CAD"/>
        </w:rPr>
        <w:t xml:space="preserve">Cómo lo demuestra: </w:t>
      </w:r>
      <w:r>
        <w:t>ActiveCarts sube a unos 30, OrdersCreated queda en 0, la alarma se activa; una compra real la devuelve a OK.</w:t>
      </w:r>
    </w:p>
    <w:p>
      <w:pPr>
        <w:spacing w:after="200"/>
        <w:ind w:left="170"/>
        <w:shd w:val="clear" w:color="auto" w:fill="E8F5EC"/>
        <w:pBdr>
          <w:left w:val="single" w:sz="18" w:space="6" w:color="1A7F37"/>
        </w:pBdr>
      </w:pPr>
      <w:r>
        <w:rPr>
          <w:b/>
          <w:color w:val="1A7F37"/>
        </w:rPr>
        <w:t xml:space="preserve">Cumple si: </w:t>
      </w:r>
      <w:r>
        <w:t>Gráfica y alarma creadas desde el YAML, y la simulación activa y recupera la alarma.</w:t>
      </w:r>
    </w:p>
    <w:p>
      <w:pPr>
        <w:pStyle w:val="Heading2"/>
      </w:pPr>
      <w:r>
        <w:t>3c. Credenciales de pago seguras</w:t>
      </w:r>
    </w:p>
    <w:p>
      <w:pPr>
        <w:spacing w:after="60"/>
      </w:pPr>
      <w:r>
        <w:rPr>
          <w:b/>
          <w:color w:val="0B5CAD"/>
        </w:rPr>
        <w:t xml:space="preserve">Qué hace el grupo: </w:t>
      </w:r>
      <w:r>
        <w:t>Crea su aplicación y cuentas de prueba en Mercado Pago y guarda el token de prueba en Secrets Manager (secreto creado por el YAML sin el valor, con permiso de lectura para el rol de la EC2). La app lo lee con el AWS SDK.</w:t>
      </w:r>
    </w:p>
    <w:p>
      <w:pPr>
        <w:spacing w:after="60"/>
      </w:pPr>
      <w:r>
        <w:rPr>
          <w:b/>
          <w:color w:val="0B5CAD"/>
        </w:rPr>
        <w:t xml:space="preserve">Cómo lo demuestra: </w:t>
      </w:r>
      <w:r>
        <w:t>El secreto en Secrets Manager (sin el valor); el token no aparece en GitHub ni en la EC2.</w:t>
      </w:r>
    </w:p>
    <w:p>
      <w:pPr>
        <w:spacing w:after="200"/>
        <w:ind w:left="170"/>
        <w:shd w:val="clear" w:color="auto" w:fill="E8F5EC"/>
        <w:pBdr>
          <w:left w:val="single" w:sz="18" w:space="6" w:color="1A7F37"/>
        </w:pBdr>
      </w:pPr>
      <w:r>
        <w:rPr>
          <w:b/>
          <w:color w:val="1A7F37"/>
        </w:rPr>
        <w:t xml:space="preserve">Cumple si: </w:t>
      </w:r>
      <w:r>
        <w:t>El token solo está en Secrets Manager, creado y autorizado desde el YAML.</w:t>
      </w:r>
    </w:p>
    <w:p>
      <w:pPr>
        <w:pStyle w:val="Heading2"/>
      </w:pPr>
      <w:r>
        <w:t>3d. Pago con tarjeta de prueba</w:t>
      </w:r>
    </w:p>
    <w:p>
      <w:pPr>
        <w:spacing w:after="60"/>
      </w:pPr>
      <w:r>
        <w:rPr>
          <w:b/>
          <w:color w:val="0B5CAD"/>
        </w:rPr>
        <w:t xml:space="preserve">Qué hace el grupo: </w:t>
      </w:r>
      <w:r>
        <w:t>En Controllers/CheckoutController.cs, después de guardar el pedido, la tienda pide a Mercado Pago el link de pago (con el número de pedido y la dirección de regreso) y lleva al cliente a pagar.</w:t>
      </w:r>
    </w:p>
    <w:p>
      <w:pPr>
        <w:spacing w:after="60"/>
      </w:pPr>
      <w:r>
        <w:rPr>
          <w:b/>
          <w:color w:val="0B5CAD"/>
        </w:rPr>
        <w:t xml:space="preserve">Cómo lo demuestra: </w:t>
      </w:r>
      <w:r>
        <w:t>En vivo: compra, paga con el comprador de prueba y una tarjeta de prueba, y vuelve a la tienda.</w:t>
      </w:r>
    </w:p>
    <w:p>
      <w:pPr>
        <w:spacing w:after="200"/>
        <w:ind w:left="170"/>
        <w:shd w:val="clear" w:color="auto" w:fill="E8F5EC"/>
        <w:pBdr>
          <w:left w:val="single" w:sz="18" w:space="6" w:color="1A7F37"/>
        </w:pBdr>
      </w:pPr>
      <w:r>
        <w:rPr>
          <w:b/>
          <w:color w:val="1A7F37"/>
        </w:rPr>
        <w:t xml:space="preserve">Cumple si: </w:t>
      </w:r>
      <w:r>
        <w:t>El ciclo completo funciona en vivo, solo con elementos de prueba.</w:t>
      </w:r>
    </w:p>
    <w:p>
      <w:pPr>
        <w:pStyle w:val="Heading2"/>
      </w:pPr>
      <w:r>
        <w:t>3e. Confirmación segura al volver</w:t>
      </w:r>
    </w:p>
    <w:p>
      <w:pPr>
        <w:spacing w:after="60"/>
      </w:pPr>
      <w:r>
        <w:rPr>
          <w:b/>
          <w:color w:val="0B5CAD"/>
        </w:rPr>
        <w:t xml:space="preserve">Qué hace el grupo: </w:t>
      </w:r>
      <w:r>
        <w:t>Al regresar, la tienda consulta el pago a Mercado Pago desde el servidor y solo si está aprobado marca PAGADO. Si el cliente recarga la página, nada se registra dos veces.</w:t>
      </w:r>
    </w:p>
    <w:p>
      <w:pPr>
        <w:spacing w:after="60"/>
      </w:pPr>
      <w:r>
        <w:rPr>
          <w:b/>
          <w:color w:val="0B5CAD"/>
        </w:rPr>
        <w:t xml:space="preserve">Cómo lo demuestra: </w:t>
      </w:r>
      <w:r>
        <w:t>Con titular APRO el pedido pasa a PAGADO; con OTHE o FUND queda en PENDIENTE_PAGO y el cliente ve el rechazo; al recargar, nada se duplica.</w:t>
      </w:r>
    </w:p>
    <w:p>
      <w:pPr>
        <w:spacing w:after="60"/>
      </w:pPr>
      <w:r>
        <w:rPr>
          <w:b/>
          <w:color w:val="0B5CAD"/>
        </w:rPr>
        <w:t xml:space="preserve">Qué debe poder explicar: </w:t>
      </w:r>
      <w:r>
        <w:t>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Consulta el pago desde el servidor, distingue aprobado y rechazado y no duplica.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en vivo.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el video y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 y la ejecución se ve en el video.</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Fork: ____________________________________</w:t>
      </w:r>
    </w:p>
    <w:p>
      <w:pPr>
        <w:spacing w:after="120"/>
      </w:pPr>
      <w:r>
        <w:rPr>
          <w:b w:val="0"/>
          <w:i w:val="0"/>
        </w:rPr>
        <w:t>Integrantes: _____________________________________________________________________________________</w:t>
      </w:r>
    </w:p>
    <w:p>
      <w:pPr>
        <w:spacing w:after="160"/>
      </w:pPr>
      <w:r>
        <w:rPr>
          <w:b w:val="0"/>
          <w:i w:val="0"/>
        </w:rPr>
        <w:t>Requisitos:   ☐ Video completo entregado hasta el 23/10/2026 con todos los integrantes      ☐ Tienda desplegada</w:t>
      </w:r>
    </w:p>
    <w:p>
      <w:pPr>
        <w:spacing w:after="120"/>
      </w:pPr>
      <w:r>
        <w:rPr>
          <w:b w:val="0"/>
          <w:i w:val="0"/>
          <w:color w:val="55595E"/>
        </w:rPr>
        <w:t>Marcar cada indicador. Un bloque vale 5 solo si todos sus indicadores están marcados como «Cumple»; si no, vale 0.</w:t>
      </w:r>
    </w:p>
    <w:p>
      <w:pPr>
        <w:keepNext/>
        <w:spacing w:after="40"/>
      </w:pPr>
      <w:r>
        <w:rPr>
          <w:b/>
          <w:i w:val="0"/>
          <w:color w:val="0B5CAD"/>
        </w:rPr>
        <w:t>Bloque 1: Despliegue, AWS SDK y fallas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1a</w:t>
            </w:r>
          </w:p>
        </w:tc>
        <w:tc>
          <w:tcPr>
            <w:tcW w:type="dxa" w:w="6236"/>
          </w:tcPr>
          <w:p>
            <w:r/>
            <w:r>
              <w:rPr>
                <w:b w:val="0"/>
                <w:sz w:val="19"/>
              </w:rPr>
              <w:t>Pipeline: primer despliegue y cambio automático</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1b</w:t>
            </w:r>
          </w:p>
        </w:tc>
        <w:tc>
          <w:tcPr>
            <w:tcW w:type="dxa" w:w="6236"/>
          </w:tcPr>
          <w:p>
            <w:r/>
            <w:r>
              <w:rPr>
                <w:b w:val="0"/>
                <w:sz w:val="19"/>
              </w:rPr>
              <w:t>AWS SDK configurado y en uso, sin claves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1c</w:t>
            </w:r>
          </w:p>
        </w:tc>
        <w:tc>
          <w:tcPr>
            <w:tcW w:type="dxa" w:w="6236"/>
          </w:tcPr>
          <w:p>
            <w:r/>
            <w:r>
              <w:rPr>
                <w:b w:val="0"/>
                <w:sz w:val="19"/>
              </w:rPr>
              <w:t>Cae un servidor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1d</w:t>
            </w:r>
          </w:p>
        </w:tc>
        <w:tc>
          <w:tcPr>
            <w:tcW w:type="dxa" w:w="6236"/>
          </w:tcPr>
          <w:p>
            <w:r/>
            <w:r>
              <w:rPr>
                <w:b w:val="0"/>
                <w:sz w:val="19"/>
              </w:rPr>
              <w:t>Cae una zona completa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1e</w:t>
            </w:r>
          </w:p>
        </w:tc>
        <w:tc>
          <w:tcPr>
            <w:tcW w:type="dxa" w:w="6236"/>
          </w:tcPr>
          <w:p>
            <w:r/>
            <w:r>
              <w:rPr>
                <w:b w:val="0"/>
                <w:sz w:val="19"/>
              </w:rPr>
              <w:t>Evidencia de la caída y restauración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2: PostgreSQL: carga y búsqueda por vectores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2a</w:t>
            </w:r>
          </w:p>
        </w:tc>
        <w:tc>
          <w:tcPr>
            <w:tcW w:type="dxa" w:w="6236"/>
          </w:tcPr>
          <w:p>
            <w:r/>
            <w:r>
              <w:rPr>
                <w:b w:val="0"/>
                <w:sz w:val="19"/>
              </w:rPr>
              <w:t>PgBouncer instalado por el pipeline</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2b</w:t>
            </w:r>
          </w:p>
        </w:tc>
        <w:tc>
          <w:tcPr>
            <w:tcW w:type="dxa" w:w="6236"/>
          </w:tcPr>
          <w:p>
            <w:r/>
            <w:r>
              <w:rPr>
                <w:b w:val="0"/>
                <w:sz w:val="19"/>
              </w:rPr>
              <w:t>Prueba de carga con k6</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2c</w:t>
            </w:r>
          </w:p>
        </w:tc>
        <w:tc>
          <w:tcPr>
            <w:tcW w:type="dxa" w:w="6236"/>
          </w:tcPr>
          <w:p>
            <w:r/>
            <w:r>
              <w:rPr>
                <w:b w:val="0"/>
                <w:sz w:val="19"/>
              </w:rPr>
              <w:t>Evidencia en CloudWatch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2d</w:t>
            </w:r>
          </w:p>
        </w:tc>
        <w:tc>
          <w:tcPr>
            <w:tcW w:type="dxa" w:w="6236"/>
          </w:tcPr>
          <w:p>
            <w:r/>
            <w:r>
              <w:rPr>
                <w:b w:val="0"/>
                <w:sz w:val="19"/>
              </w:rPr>
              <w:t>Más productos por migración y vectores verificados en RDS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2e</w:t>
            </w:r>
          </w:p>
        </w:tc>
        <w:tc>
          <w:tcPr>
            <w:tcW w:type="dxa" w:w="6236"/>
          </w:tcPr>
          <w:p>
            <w:r/>
            <w:r>
              <w:rPr>
                <w:b w:val="0"/>
                <w:sz w:val="19"/>
              </w:rPr>
              <w:t>Experimento de búsqueda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3: Carrito y pago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3a</w:t>
            </w:r>
          </w:p>
        </w:tc>
        <w:tc>
          <w:tcPr>
            <w:tcW w:type="dxa" w:w="6236"/>
          </w:tcPr>
          <w:p>
            <w:r/>
            <w:r>
              <w:rPr>
                <w:b w:val="0"/>
                <w:sz w:val="19"/>
              </w:rPr>
              <w:t>Métricas del carrito con el AWS SDK</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3b</w:t>
            </w:r>
          </w:p>
        </w:tc>
        <w:tc>
          <w:tcPr>
            <w:tcW w:type="dxa" w:w="6236"/>
          </w:tcPr>
          <w:p>
            <w:r/>
            <w:r>
              <w:rPr>
                <w:b w:val="0"/>
                <w:sz w:val="19"/>
              </w:rPr>
              <w:t>Gráfica, alarma y usuarios simulados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3c</w:t>
            </w:r>
          </w:p>
        </w:tc>
        <w:tc>
          <w:tcPr>
            <w:tcW w:type="dxa" w:w="6236"/>
          </w:tcPr>
          <w:p>
            <w:r/>
            <w:r>
              <w:rPr>
                <w:b w:val="0"/>
                <w:sz w:val="19"/>
              </w:rPr>
              <w:t>Credenciales de pago seguras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3d</w:t>
            </w:r>
          </w:p>
        </w:tc>
        <w:tc>
          <w:tcPr>
            <w:tcW w:type="dxa" w:w="6236"/>
          </w:tcPr>
          <w:p>
            <w:r/>
            <w:r>
              <w:rPr>
                <w:b w:val="0"/>
                <w:sz w:val="19"/>
              </w:rPr>
              <w:t>Pago con tarjeta de prueba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3e</w:t>
            </w:r>
          </w:p>
        </w:tc>
        <w:tc>
          <w:tcPr>
            <w:tcW w:type="dxa" w:w="6236"/>
          </w:tcPr>
          <w:p>
            <w:r/>
            <w:r>
              <w:rPr>
                <w:b w:val="0"/>
                <w:sz w:val="19"/>
              </w:rPr>
              <w:t>Confirmación segura al volver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4: Sustentación</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0B5CAD"/>
          </w:tcPr>
          <w:p>
            <w:r/>
            <w:r>
              <w:rPr>
                <w:b/>
                <w:color w:val="FFFFFF"/>
                <w:sz w:val="19"/>
              </w:rPr>
              <w:t>Integrante</w:t>
            </w:r>
          </w:p>
        </w:tc>
        <w:tc>
          <w:tcPr>
            <w:tcW w:type="dxa" w:w="1984"/>
            <w:shd w:val="clear" w:color="auto" w:fill="0B5CAD"/>
          </w:tcPr>
          <w:p>
            <w:r/>
            <w:r>
              <w:rPr>
                <w:b/>
                <w:color w:val="FFFFFF"/>
                <w:sz w:val="19"/>
              </w:rPr>
              <w:t>N.º de pregunta</w:t>
            </w:r>
          </w:p>
        </w:tc>
        <w:tc>
          <w:tcPr>
            <w:tcW w:type="dxa" w:w="2551"/>
            <w:shd w:val="clear" w:color="auto" w:fill="0B5CAD"/>
          </w:tcPr>
          <w:p>
            <w:r/>
            <w:r>
              <w:rPr>
                <w:b/>
                <w:color w:val="FFFFFF"/>
                <w:sz w:val="19"/>
              </w:rPr>
              <w:t>Sustenta</w:t>
            </w:r>
          </w:p>
        </w:tc>
      </w:tr>
      <w:tr>
        <w:tc>
          <w:tcPr>
            <w:tcW w:type="dxa" w:w="5102"/>
          </w:tcPr>
          <w:p>
            <w:r/>
            <w:r>
              <w:rPr>
                <w:b w:val="0"/>
                <w:sz w:val="19"/>
              </w:rPr>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Puntaje del bloque (5 si todos sustentan; 0 si uno no)</w:t>
            </w:r>
          </w:p>
        </w:tc>
        <w:tc>
          <w:tcPr>
            <w:tcW w:type="dxa" w:w="1984"/>
          </w:tcPr>
          <w:p>
            <w:r/>
            <w:r>
              <w:rPr>
                <w:b w:val="0"/>
                <w:sz w:val="19"/>
              </w:rPr>
            </w:r>
          </w:p>
        </w:tc>
        <w:tc>
          <w:tcPr>
            <w:tcW w:type="dxa" w:w="2551"/>
          </w:tcPr>
          <w:p>
            <w:r/>
            <w:r>
              <w:rPr>
                <w:b w:val="0"/>
                <w:sz w:val="19"/>
              </w:rPr>
              <w:t>____</w:t>
            </w:r>
          </w:p>
        </w:tc>
      </w:tr>
    </w:tbl>
    <w:p>
      <w:pPr>
        <w:spacing w:after="12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Resumen</w:t>
            </w:r>
          </w:p>
        </w:tc>
        <w:tc>
          <w:tcPr>
            <w:tcW w:type="dxa" w:w="2835"/>
            <w:shd w:val="clear" w:color="auto" w:fill="0B5CAD"/>
          </w:tcPr>
          <w:p>
            <w:pPr>
              <w:jc w:val="center"/>
            </w:pPr>
            <w:r/>
            <w:r>
              <w:rPr>
                <w:b/>
                <w:color w:val="FFFFFF"/>
                <w:sz w:val="19"/>
              </w:rPr>
              <w:t>Puntos</w:t>
            </w:r>
          </w:p>
        </w:tc>
      </w:tr>
      <w:tr>
        <w:tc>
          <w:tcPr>
            <w:tcW w:type="dxa" w:w="6803"/>
          </w:tcPr>
          <w:p>
            <w:r/>
            <w:r>
              <w:rPr>
                <w:b/>
                <w:sz w:val="19"/>
              </w:rPr>
              <w:t>Bloque 1</w:t>
            </w:r>
          </w:p>
        </w:tc>
        <w:tc>
          <w:tcPr>
            <w:tcW w:type="dxa" w:w="2835"/>
          </w:tcPr>
          <w:p>
            <w:pPr>
              <w:jc w:val="center"/>
            </w:pPr>
            <w:r/>
            <w:r>
              <w:rPr>
                <w:b w:val="0"/>
                <w:sz w:val="19"/>
              </w:rPr>
              <w:t>____</w:t>
            </w:r>
          </w:p>
        </w:tc>
      </w:tr>
      <w:tr>
        <w:tc>
          <w:tcPr>
            <w:tcW w:type="dxa" w:w="6803"/>
          </w:tcPr>
          <w:p>
            <w:r/>
            <w:r>
              <w:rPr>
                <w:b/>
                <w:sz w:val="19"/>
              </w:rPr>
              <w:t>Bloque 2</w:t>
            </w:r>
          </w:p>
        </w:tc>
        <w:tc>
          <w:tcPr>
            <w:tcW w:type="dxa" w:w="2835"/>
          </w:tcPr>
          <w:p>
            <w:pPr>
              <w:jc w:val="center"/>
            </w:pPr>
            <w:r/>
            <w:r>
              <w:rPr>
                <w:b w:val="0"/>
                <w:sz w:val="19"/>
              </w:rPr>
              <w:t>____</w:t>
            </w:r>
          </w:p>
        </w:tc>
      </w:tr>
      <w:tr>
        <w:tc>
          <w:tcPr>
            <w:tcW w:type="dxa" w:w="6803"/>
          </w:tcPr>
          <w:p>
            <w:r/>
            <w:r>
              <w:rPr>
                <w:b/>
                <w:sz w:val="19"/>
              </w:rPr>
              <w:t>Bloque 3</w:t>
            </w:r>
          </w:p>
        </w:tc>
        <w:tc>
          <w:tcPr>
            <w:tcW w:type="dxa" w:w="2835"/>
          </w:tcPr>
          <w:p>
            <w:pPr>
              <w:jc w:val="center"/>
            </w:pPr>
            <w:r/>
            <w:r>
              <w:rPr>
                <w:b w:val="0"/>
                <w:sz w:val="19"/>
              </w:rPr>
              <w:t>____</w:t>
            </w:r>
          </w:p>
        </w:tc>
      </w:tr>
      <w:tr>
        <w:tc>
          <w:tcPr>
            <w:tcW w:type="dxa" w:w="6803"/>
          </w:tcPr>
          <w:p>
            <w:r/>
            <w:r>
              <w:rPr>
                <w:b/>
                <w:sz w:val="19"/>
              </w:rPr>
              <w:t>Bloque 4</w:t>
            </w:r>
          </w:p>
        </w:tc>
        <w:tc>
          <w:tcPr>
            <w:tcW w:type="dxa" w:w="2835"/>
          </w:tcPr>
          <w:p>
            <w:pPr>
              <w:jc w:val="center"/>
            </w:pPr>
            <w:r/>
            <w:r>
              <w:rPr>
                <w:b w:val="0"/>
                <w:sz w:val="19"/>
              </w:rPr>
              <w:t>____</w:t>
            </w:r>
          </w:p>
        </w:tc>
      </w:tr>
      <w:tr>
        <w:tc>
          <w:tcPr>
            <w:tcW w:type="dxa" w:w="6803"/>
          </w:tcPr>
          <w:p>
            <w:r/>
            <w:r>
              <w:rPr>
                <w:b/>
                <w:sz w:val="19"/>
              </w:rPr>
              <w:t>Nota final (0, 5, 10, 15 o 20)</w:t>
            </w:r>
          </w:p>
        </w:tc>
        <w:tc>
          <w:tcPr>
            <w:tcW w:type="dxa" w:w="2835"/>
          </w:tcPr>
          <w:p>
            <w:pPr>
              <w:jc w:val="center"/>
            </w:pPr>
            <w:r/>
            <w:r>
              <w:rPr>
                <w:b w:val="0"/>
                <w:sz w:val="19"/>
              </w:rPr>
              <w:t>____</w:t>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jjjfrancia/tiendaonline/discussions" TargetMode="External"/><Relationship Id="rId10" Type="http://schemas.openxmlformats.org/officeDocument/2006/relationships/hyperlink" Target="https://github.com/jjjfrancia/tiendaonline/blob/main/infra/github-oidc.yaml" TargetMode="External"/><Relationship Id="rId11" Type="http://schemas.openxmlformats.org/officeDocument/2006/relationships/hyperlink" Target="https://github.com/jjjfrancia/tiendaonline/blob/main/.github/workflows/deploy-aws.yml" TargetMode="External"/><Relationship Id="rId12" Type="http://schemas.openxmlformats.org/officeDocument/2006/relationships/hyperlink" Target="https://github.com/jjjfrancia/tiendaonline/blob/main/Views/Shared/_Layout.cshtml" TargetMode="External"/><Relationship Id="rId13" Type="http://schemas.openxmlformats.org/officeDocument/2006/relationships/hyperlink" Target="https://github.com/jjjfrancia/tiendaonline/blob/main/Services/BusinessMetrics.cs" TargetMode="External"/><Relationship Id="rId14" Type="http://schemas.openxmlformats.org/officeDocument/2006/relationships/hyperlink" Target="https://github.com/jjjfrancia/tiendaonline/blob/main/Services/DatabaseSecret.cs" TargetMode="External"/><Relationship Id="rId15" Type="http://schemas.openxmlformats.org/officeDocument/2006/relationships/hyperlink" Target="https://github.com/jjjfrancia/tiendaonline/blob/main/scripts/analizar-red.sh" TargetMode="External"/><Relationship Id="rId16" Type="http://schemas.openxmlformats.org/officeDocument/2006/relationships/hyperlink" Target="https://github.com/jjjfrancia/tiendaonline/blob/main/infra/urponline-oneclick.yaml" TargetMode="External"/><Relationship Id="rId17" Type="http://schemas.openxmlformats.org/officeDocument/2006/relationships/hyperlink" Target="https://github.com/jjjfrancia/tiendaonline/blob/main/Program.cs" TargetMode="External"/><Relationship Id="rId18" Type="http://schemas.openxmlformats.org/officeDocument/2006/relationships/hyperlink" Target="https://github.com/jjjfrancia/tiendaonline/blob/main/scripts/pgbouncer.ini.example" TargetMode="External"/><Relationship Id="rId19" Type="http://schemas.openxmlformats.org/officeDocument/2006/relationships/hyperlink" Target="https://github.com/jjjfrancia/tiendaonline/blob/main/Data/Migrations/" TargetMode="External"/><Relationship Id="rId20" Type="http://schemas.openxmlformats.org/officeDocument/2006/relationships/hyperlink" Target="https://github.com/jjjfrancia/tiendaonline/blob/main/Services/ProductEmbeddingIndexer.cs" TargetMode="External"/><Relationship Id="rId21" Type="http://schemas.openxmlformats.org/officeDocument/2006/relationships/hyperlink" Target="https://github.com/jjjfrancia/tiendaonline/blob/main/Services/ProductVectorStore.cs" TargetMode="External"/><Relationship Id="rId22" Type="http://schemas.openxmlformats.org/officeDocument/2006/relationships/hyperlink" Target="https://github.com/jjjfrancia/tiendaonline/blob/main/appsettings.json" TargetMode="External"/><Relationship Id="rId23" Type="http://schemas.openxmlformats.org/officeDocument/2006/relationships/hyperlink" Target="https://github.com/jjjfrancia/tiendaonline/blob/main/Controllers/CartController.cs" TargetMode="External"/><Relationship Id="rId24" Type="http://schemas.openxmlformats.org/officeDocument/2006/relationships/hyperlink" Target="https://github.com/jjjfrancia/tiendaonline/blob/main/Controllers/CheckoutController.cs" TargetMode="External"/><Relationship Id="rId25" Type="http://schemas.openxmlformats.org/officeDocument/2006/relationships/hyperlink" Target="https://github.com/jjjfrancia/tiendaonline/blob/main/Controllers/PaymentsController.cs" TargetMode="External"/><Relationship Id="rId26" Type="http://schemas.openxmlformats.org/officeDocument/2006/relationships/hyperlink" Target="https://github.com/jjjfrancia/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