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Bdr>
          <w:left w:color="004887" w:space="10" w:sz="36" w:val="single"/>
        </w:pBdr>
        <w:spacing w:before="0" w:after="20"/>
        <w:ind w:left="170"/>
      </w:pPr>
      <w:r>
        <w:rPr>
          <w:b w:val="1"/>
          <w:bCs w:val="1"/>
          <w:sz w:val="36"/>
          <w:szCs w:val="36"/>
        </w:rPr>
        <w:t xml:space="preserve">Proceso de Offboarding</w:t>
      </w:r>
    </w:p>
    <w:p>
      <w:pPr>
        <w:pBdr>
          <w:left w:color="004887" w:space="10" w:sz="36" w:val="single"/>
        </w:pBdr>
        <w:spacing w:after="160"/>
        <w:ind w:left="170"/>
      </w:pPr>
      <w:r>
        <w:rPr>
          <w:color w:val="6b7280"/>
          <w:sz w:val="20"/>
          <w:szCs w:val="20"/>
        </w:rPr>
        <w:t xml:space="preserve">Colaboradores</w:t>
      </w:r>
    </w:p>
    <w:p>
      <w:pPr>
        <w:spacing w:before="0" w:after="100" w:line="252" w:lineRule="auto"/>
        <w:jc w:val="both"/>
      </w:pPr>
      <w:r>
        <w:rPr>
          <w:sz w:val="19"/>
          <w:szCs w:val="19"/>
        </w:rPr>
        <w:t xml:space="preserve">En </w:t>
      </w:r>
      <w:r>
        <w:rPr>
          <w:b w:val="1"/>
          <w:bCs w:val="1"/>
          <w:sz w:val="19"/>
          <w:szCs w:val="19"/>
        </w:rPr>
        <w:t xml:space="preserve">Cornerstone</w:t>
      </w:r>
      <w:r>
        <w:rPr>
          <w:sz w:val="19"/>
          <w:szCs w:val="19"/>
        </w:rPr>
        <w:t xml:space="preserve">, valoramos enormemente el tiempo, el compromiso y las contribuciones que has brindado a nuestra organización. Sabemos que las transiciones son etapas importantes en la carrera profesional de todo colaborador, por lo que hemos diseñado esta guía para acompañarte paso a paso desde el anuncio de tu salida hasta tu último día. Nuestro objetivo es asegurar que este proceso se desarrolle de manera transparente, clara y organizada tanto para ti como para tu equipo.</w:t>
      </w:r>
    </w:p>
    <w:p>
      <w:pPr>
        <w:pBdr>
          <w:left w:color="004887" w:space="8" w:sz="24" w:val="single"/>
        </w:pBdr>
        <w:shd w:fill="eef4fa" w:val="clear"/>
        <w:spacing w:before="0" w:after="120" w:line="252" w:lineRule="auto"/>
        <w:ind w:left="170" w:right="113"/>
      </w:pPr>
      <w:r>
        <w:rPr>
          <w:b w:val="1"/>
          <w:bCs w:val="1"/>
          <w:color w:val="004887"/>
          <w:sz w:val="19"/>
          <w:szCs w:val="19"/>
        </w:rPr>
        <w:t xml:space="preserve">Entrevista de salida:</w:t>
      </w:r>
      <w:r>
        <w:rPr>
          <w:sz w:val="19"/>
          <w:szCs w:val="19"/>
        </w:rPr>
        <w:t xml:space="preserve"> Como parte de nuestro compromiso con la mejora continua, People &amp; Culture te invita a una breve entrevista o encuesta de salida confidencial. Tu retroalimentación es muy valiosa para seguir haciendo de Cornerstone un excelente lugar para trabajar. Completar acá la encuesta de salida.</w:t>
      </w:r>
    </w:p>
    <w:p>
      <w:pPr>
        <w:spacing w:before="0" w:after="120" w:line="252" w:lineRule="auto"/>
      </w:pPr>
      <w:r>
        <w:rPr>
          <w:sz w:val="19"/>
          <w:szCs w:val="19"/>
        </w:rPr>
        <w:t xml:space="preserve">A continuación, se detallan los pasos a seguir desde la comunicación de tu renuncia hasta el cierre de tu vínculo laboral con Cornerstone.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719"/>
        <w:gridCol w:w="200"/>
        <w:gridCol w:w="4719"/>
      </w:tblGrid>
      <w:tr>
        <w:trPr>
          <w:cantSplit/>
        </w:trPr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01  </w:t>
            </w:r>
            <w:r>
              <w:rPr>
                <w:b w:val="1"/>
                <w:bCs w:val="1"/>
                <w:sz w:val="21"/>
                <w:szCs w:val="21"/>
              </w:rPr>
              <w:t xml:space="preserve">Comunicación de la renuncia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Presenta tu carta de renuncia indicando la fecha de tu último día de trabajo. Recuerda que debes informarlo al menos 30 días de anticipación. Desde ese momento, People &amp; Culture te acompañará en el proceso. Puedes escribirnos al correo de </w:t>
            </w:r>
            <w:hyperlink r:id="rId7">
              <w:r>
                <w:rPr>
                  <w:b w:val="1"/>
                  <w:bCs w:val="1"/>
                  <w:color w:val="1155cc"/>
                  <w:u w:val="single"/>
                  <w:sz w:val="19"/>
                  <w:szCs w:val="19"/>
                </w:rPr>
                <w:t xml:space="preserve">offboarding@cornerstone.com.pe</w:t>
              </w:r>
            </w:hyperlink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02  </w:t>
            </w:r>
            <w:r>
              <w:rPr>
                <w:b w:val="1"/>
                <w:bCs w:val="1"/>
                <w:sz w:val="21"/>
                <w:szCs w:val="21"/>
              </w:rPr>
              <w:t xml:space="preserve">Confirmación del último día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People &amp; Culture confirmará contigo la fecha de tu último día de trabajo, de acuerdo con lo indicado en tu carta de renuncia.</w:t>
            </w:r>
          </w:p>
        </w:tc>
      </w:tr>
      <w:tr>
        <w:trPr>
          <w:trHeight w:val="140" w:hRule="exact"/>
        </w:trPr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cantSplit/>
        </w:trPr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03  </w:t>
            </w:r>
            <w:r>
              <w:rPr>
                <w:b w:val="1"/>
                <w:bCs w:val="1"/>
                <w:sz w:val="21"/>
                <w:szCs w:val="21"/>
              </w:rPr>
              <w:t xml:space="preserve">Transferencia de pendientes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Antes de tu salida, deja por escrito tus pendientes y la información necesaria, compártelos con tu jefe directo y guárdalos en el Drive o la carpeta compartida de tu equipo.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04  </w:t>
            </w:r>
            <w:r>
              <w:rPr>
                <w:b w:val="1"/>
                <w:bCs w:val="1"/>
                <w:sz w:val="21"/>
                <w:szCs w:val="21"/>
              </w:rPr>
              <w:t xml:space="preserve">Devolución de equipos y materiales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Coordina con People &amp; Culture y/o TI la devolución de lo que te fue asignado, según corresponda: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Laptop y cargador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Fotocheck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Pase vehicular (si tienes uno asignado)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Otros equipos o materiales entregados por la empresa</w:t>
            </w:r>
          </w:p>
        </w:tc>
      </w:tr>
      <w:tr>
        <w:trPr>
          <w:trHeight w:val="140" w:hRule="exact"/>
        </w:trPr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cantSplit/>
        </w:trPr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05  </w:t>
            </w:r>
            <w:r>
              <w:rPr>
                <w:b w:val="1"/>
                <w:bCs w:val="1"/>
                <w:sz w:val="21"/>
                <w:szCs w:val="21"/>
              </w:rPr>
              <w:t xml:space="preserve">Cierre de accesos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Luego de tu fecha de cese se desactivarán tus accesos (correo corporativo, BUK, herramientas internas y otras plataformas). Te recomendamos guardar antes tu información personal, respetando las políticas de confidencialidad y seguridad de la información.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06  </w:t>
            </w:r>
            <w:r>
              <w:rPr>
                <w:b w:val="1"/>
                <w:bCs w:val="1"/>
                <w:sz w:val="21"/>
                <w:szCs w:val="21"/>
              </w:rPr>
              <w:t xml:space="preserve">Liquidación de beneficios sociales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Una vez producido el cese, se realizará el cálculo de tu liquidación de beneficios sociales. People &amp; Culture te informará cuando esté disponible.</w:t>
            </w:r>
          </w:p>
          <w:p>
            <w:pPr>
              <w:pBdr>
                <w:left w:color="004887" w:space="8" w:sz="24" w:val="single"/>
              </w:pBdr>
              <w:shd w:fill="eef4fa" w:val="clear"/>
              <w:spacing w:before="40" w:after="40" w:line="252" w:lineRule="auto"/>
              <w:ind w:left="170" w:right="113"/>
            </w:pPr>
            <w:r>
              <w:rPr>
                <w:b w:val="1"/>
                <w:bCs w:val="1"/>
                <w:color w:val="004887"/>
                <w:sz w:val="19"/>
                <w:szCs w:val="19"/>
              </w:rPr>
              <w:t xml:space="preserve">Pago: </w:t>
            </w:r>
            <w:r>
              <w:rPr>
                <w:sz w:val="19"/>
                <w:szCs w:val="19"/>
              </w:rPr>
              <w:t xml:space="preserve">dentro de las 48 horas hábiles luego del término de la relación laboral.</w:t>
            </w:r>
          </w:p>
        </w:tc>
      </w:tr>
      <w:tr>
        <w:trPr>
          <w:trHeight w:val="140" w:hRule="exact"/>
        </w:trPr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cantSplit/>
        </w:trPr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07  </w:t>
            </w:r>
            <w:r>
              <w:rPr>
                <w:b w:val="1"/>
                <w:bCs w:val="1"/>
                <w:sz w:val="21"/>
                <w:szCs w:val="21"/>
              </w:rPr>
              <w:t xml:space="preserve">Documentos de salida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Según corresponda, recibirás por correo: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Certificado de trabajo.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Carta de liberación de CTS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Boleta de pago final</w:t>
            </w:r>
          </w:p>
          <w:p>
            <w:pPr>
              <w:numPr>
                <w:ilvl w:val="0"/>
                <w:numId w:val="1"/>
              </w:numPr>
              <w:spacing w:before="0" w:after="10" w:line="240" w:lineRule="auto"/>
              <w:ind w:left="340" w:hanging="227"/>
            </w:pPr>
            <w:r>
              <w:rPr>
                <w:sz w:val="19"/>
                <w:szCs w:val="19"/>
              </w:rPr>
              <w:t xml:space="preserve">Certificado de retenciones de quinta categoría, cuando corresponda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4719" w:type="dxa"/>
            <w:tcBorders>
              <w:top w:val="single" w:sz="4" w:color="c9d3de"/>
              <w:left w:val="single" w:sz="4" w:color="c9d3de"/>
              <w:bottom w:val="single" w:sz="4" w:color="c9d3de"/>
              <w:right w:val="single" w:sz="4" w:color="c9d3de"/>
            </w:tcBorders>
            <w:tcMar>
              <w:top w:w="100" w:type="dxa"/>
              <w:left w:w="150" w:type="dxa"/>
              <w:bottom w:w="80" w:type="dxa"/>
              <w:right w:w="150" w:type="dxa"/>
            </w:tcMar>
          </w:tcPr>
          <w:p>
            <w:pPr>
              <w:keepNext w:val="1"/>
              <w:pBdr>
                <w:bottom w:color="c9d3de" w:space="2" w:sz="4" w:val="single"/>
              </w:pBdr>
              <w:spacing w:before="0" w:after="60" w:line="240" w:lineRule="auto"/>
            </w:pPr>
            <w:r>
              <w:rPr>
                <w:b w:val="1"/>
                <w:bCs w:val="1"/>
                <w:color w:val="004887"/>
                <w:sz w:val="21"/>
                <w:szCs w:val="21"/>
              </w:rPr>
              <w:t xml:space="preserve">08  </w:t>
            </w:r>
            <w:r>
              <w:rPr>
                <w:b w:val="1"/>
                <w:bCs w:val="1"/>
                <w:sz w:val="21"/>
                <w:szCs w:val="21"/>
              </w:rPr>
              <w:t xml:space="preserve">Consultas</w:t>
            </w:r>
          </w:p>
          <w:p>
            <w:pPr>
              <w:spacing w:before="0" w:after="40" w:line="252" w:lineRule="auto"/>
            </w:pPr>
            <w:r>
              <w:rPr>
                <w:sz w:val="19"/>
                <w:szCs w:val="19"/>
              </w:rPr>
              <w:t xml:space="preserve">Para cualquier consulta sobre tu liquidación, documentos o beneficios, comunícate con People &amp; Culture a través del correo </w:t>
            </w:r>
            <w:hyperlink r:id="rId8">
              <w:r>
                <w:rPr>
                  <w:b w:val="1"/>
                  <w:bCs w:val="1"/>
                  <w:color w:val="1155cc"/>
                  <w:u w:val="single"/>
                  <w:sz w:val="19"/>
                  <w:szCs w:val="19"/>
                </w:rPr>
                <w:t xml:space="preserve">offboarding@cornerstone.com.pe</w:t>
              </w:r>
            </w:hyperlink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Bdr>
          <w:top w:color="c9d3de" w:space="8" w:sz="4" w:val="single"/>
        </w:pBdr>
        <w:spacing w:before="200" w:after="40" w:line="252" w:lineRule="auto"/>
      </w:pPr>
      <w:r>
        <w:rPr>
          <w:sz w:val="19"/>
          <w:szCs w:val="19"/>
        </w:rPr>
        <w:t xml:space="preserve">Gracias por haber sido parte de Cornerstone y por tu compromiso durante este tiempo. Te deseamos muchos éxitos en esta nueva etapa.</w:t>
      </w:r>
    </w:p>
    <w:p>
      <w:pPr>
        <w:spacing w:before="0" w:after="0" w:line="252" w:lineRule="auto"/>
      </w:pPr>
      <w:r>
        <w:rPr>
          <w:b w:val="1"/>
          <w:bCs w:val="1"/>
          <w:color w:val="004887"/>
          <w:sz w:val="19"/>
          <w:szCs w:val="19"/>
        </w:rPr>
        <w:t xml:space="preserve">People &amp; Culture</w:t>
      </w:r>
    </w:p>
    <w:p>
      <w:pPr>
        <w:spacing w:before="0" w:after="0" w:line="252" w:lineRule="auto"/>
      </w:pPr>
      <w:r>
        <w:rPr>
          <w:color w:val="6b7280"/>
          <w:sz w:val="19"/>
          <w:szCs w:val="19"/>
        </w:rPr>
        <w:t xml:space="preserve">Cornerstone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900" w:top="1300" w:gutter="0" w:left="1134" w:right="1134" w:header="620" w:footer="5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ulish" w:cs="Mulish" w:eastAsia="Mulish" w:hAnsi="Mulish"/>
        <w:b w:val="0"/>
        <w:bCs w:val="0"/>
        <w:i w:val="0"/>
        <w:iCs w:val="0"/>
        <w:smallCaps w:val="0"/>
        <w:strike w:val="0"/>
        <w:color w:val="0d14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right" w:leader="none" w:pos="9638"/>
      </w:tabs>
      <w:rPr/>
    </w:pPr>
    <w:r w:rsidDel="00000000" w:rsidR="00000000" w:rsidRPr="00000000">
      <w:rPr>
        <w:color w:val="6b7280"/>
        <w:sz w:val="15"/>
        <w:szCs w:val="15"/>
        <w:rtl w:val="0"/>
      </w:rPr>
      <w:t xml:space="preserve">Cornerstone Perú</w:t>
      <w:tab/>
      <w:t xml:space="preserve">Proceso de Desvinculación – Colaboradores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-720089</wp:posOffset>
          </wp:positionH>
          <wp:positionV relativeFrom="paragraph">
            <wp:posOffset>453895</wp:posOffset>
          </wp:positionV>
          <wp:extent cx="7562850" cy="66675"/>
          <wp:effectExtent b="0" l="0" r="0" t="0"/>
          <wp:wrapNone/>
          <wp:docPr id="13664154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666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ulish" w:cs="Mulish" w:eastAsia="Mulish" w:hAnsi="Mulish"/>
        <w:b w:val="0"/>
        <w:bCs w:val="0"/>
        <w:i w:val="0"/>
        <w:iCs w:val="0"/>
        <w:smallCaps w:val="0"/>
        <w:strike w:val="0"/>
        <w:color w:val="0d14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ulish" w:cs="Mulish" w:eastAsia="Mulish" w:hAnsi="Mulish"/>
        <w:b w:val="0"/>
        <w:bCs w:val="0"/>
        <w:i w:val="0"/>
        <w:iCs w:val="0"/>
        <w:smallCaps w:val="0"/>
        <w:strike w:val="0"/>
        <w:color w:val="0d14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right" w:leader="none" w:pos="9638"/>
      </w:tabs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14300"/>
          <wp:effectExtent b="0" l="0" r="0" t="0"/>
          <wp:wrapNone/>
          <wp:docPr id="13664154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14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inline distB="0" distT="0" distL="0" distR="0">
          <wp:extent cx="1714500" cy="228600"/>
          <wp:effectExtent b="0" l="0" r="0" t="0"/>
          <wp:docPr id="13664154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45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6b7280"/>
        <w:sz w:val="16"/>
        <w:szCs w:val="16"/>
        <w:rtl w:val="0"/>
      </w:rPr>
      <w:tab/>
      <w:t xml:space="preserve">People &amp; Culture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ulish" w:cs="Mulish" w:eastAsia="Mulish" w:hAnsi="Mulish"/>
        <w:b w:val="0"/>
        <w:bCs w:val="0"/>
        <w:i w:val="0"/>
        <w:iCs w:val="0"/>
        <w:smallCaps w:val="0"/>
        <w:strike w:val="0"/>
        <w:color w:val="0d14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567" w:hanging="283"/>
      </w:pPr>
      <w:rPr>
        <w:rFonts w:ascii="Mulish" w:cs="Mulish" w:eastAsia="Mulish" w:hAnsi="Mulish"/>
        <w:color w:val="004887"/>
        <w:sz w:val="12"/>
        <w:szCs w:val="12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ulish" w:cs="Mulish" w:eastAsia="Mulish" w:hAnsi="Mulish"/>
        <w:color w:val="0d1427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ulish" w:cs="Mulish" w:eastAsia="Mulish" w:hAnsi="Mulish"/>
      <w:b w:val="0"/>
      <w:bCs w:val="0"/>
      <w:i w:val="0"/>
      <w:iCs w:val="0"/>
      <w:smallCaps w:val="0"/>
      <w:strike w:val="0"/>
      <w:color w:val="0d1427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FC776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C776F"/>
  </w:style>
  <w:style w:type="paragraph" w:styleId="Piedepgina">
    <w:name w:val="footer"/>
    <w:basedOn w:val="Normal"/>
    <w:link w:val="PiedepginaCar"/>
    <w:uiPriority w:val="99"/>
    <w:unhideWhenUsed w:val="1"/>
    <w:rsid w:val="00FC776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C776F"/>
  </w:style>
  <w:style w:type="paragraph" w:styleId="NormalWeb">
    <w:name w:val="Normal (Web)"/>
    <w:basedOn w:val="Normal"/>
    <w:uiPriority w:val="99"/>
    <w:semiHidden w:val="1"/>
    <w:unhideWhenUsed w:val="1"/>
    <w:rsid w:val="00EE00A6"/>
    <w:pPr>
      <w:spacing w:after="100" w:afterAutospacing="1" w:before="100" w:beforeAutospacing="1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51A9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offboarding@cornerstone.com.pe" TargetMode="External"/><Relationship Id="rId8" Type="http://schemas.openxmlformats.org/officeDocument/2006/relationships/hyperlink" Target="mailto:offboarding@cornerstone.com.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/W35ZGcYN+IAtm5GFg6vQioLg==">CgMxLjA4AHIhMU9uUnIwMmJNZGloLWJ1cDgzcFJRR0FZbjNrcWNMN2N4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2026-09-16T21:30:00Z</dcterms:created>
  <dc:creator>People &amp; Culture</dc:creator>
</cp:coreProperties>
</file>