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Malgun Gothic" w:cs="Malgun Gothic" w:eastAsia="Malgun Gothic" w:hAnsi="Malgun Gothic"/>
          <w:b/>
          <w:bCs/>
          <w:color w:val="4B5563"/>
          <w:sz w:val="22"/>
          <w:szCs w:val="22"/>
        </w:rPr>
        <w:t xml:space="preserve">외벽 화재위험성평가 · NFPA 551 정량적 방법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3303D"/>
          <w:sz w:val="44"/>
          <w:szCs w:val="44"/>
        </w:rPr>
        <w:t xml:space="preserve">외벽(중공층 외단열) 정량적 화재위험성평가</w:t>
      </w:r>
    </w:p>
    <w:p>
      <w:pPr>
        <w:spacing w:after="360"/>
      </w:pPr>
      <w:r>
        <w:rPr>
          <w:rFonts w:ascii="Malgun Gothic" w:cs="Malgun Gothic" w:eastAsia="Malgun Gothic" w:hAnsi="Malgun Gothic"/>
          <w:b/>
          <w:bCs/>
          <w:color w:val="23303D"/>
          <w:sz w:val="32"/>
          <w:szCs w:val="32"/>
        </w:rPr>
        <w:t xml:space="preserve">보고서 서술 양식 — 항목별 쓸 내용 · 작성 방법 · 예문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NFPA 551(2022) 7장(문서)의 요건을 외벽 정량 평가에 맞춰 항목마다 풀어 쓴 양식입니다. 예문의 수치는 중공층 시험 5종과 15층 공동주택 예제로 계산한 값입니다(예시 입력).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작성일: </w:t>
      </w:r>
      <w:r>
        <w:rPr>
          <w:rFonts w:ascii="Malgun Gothic" w:cs="Malgun Gothic" w:eastAsia="Malgun Gothic" w:hAnsi="Malgun Gothic"/>
        </w:rPr>
        <w:t xml:space="preserve">2026-10-23    </w:t>
      </w:r>
      <w:r>
        <w:rPr>
          <w:rFonts w:ascii="Malgun Gothic" w:cs="Malgun Gothic" w:eastAsia="Malgun Gothic" w:hAnsi="Malgun Gothic"/>
          <w:b/>
          <w:bCs/>
        </w:rPr>
        <w:t xml:space="preserve">함께 쓰는 파일: </w:t>
      </w:r>
      <w:r>
        <w:rPr>
          <w:rFonts w:ascii="Malgun Gothic" w:cs="Malgun Gothic" w:eastAsia="Malgun Gothic" w:hAnsi="Malgun Gothic"/>
        </w:rPr>
        <w:t xml:space="preserve">외벽_QFRA_계산서.xlsx (계산), 외벽_정량적_화재위험성평가_절차.pptx (절차 설명)</w:t>
      </w:r>
    </w:p>
    <w:p>
      <w:pPr>
        <w:spacing w:before="360"/>
      </w:pP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읽는 법</w:t>
      </w:r>
    </w:p>
    <w:p>
      <w:pPr>
        <w:pBdr>
          <w:left w:val="single" w:color="0CA30C" w:sz="18" w:space="8"/>
        </w:pBdr>
        <w:shd w:fill="EEF5EC" w:color="auto" w:val="clear"/>
        <w:spacing w:after="60" w:line="300"/>
        <w:ind w:left="160" w:right="160"/>
      </w:pPr>
      <w:r>
        <w:rPr>
          <w:rFonts w:ascii="Malgun Gothic" w:cs="Malgun Gothic" w:eastAsia="Malgun Gothic" w:hAnsi="Malgun Gothic"/>
          <w:b/>
          <w:bCs/>
        </w:rPr>
        <w:t xml:space="preserve">이 양식의 구성  </w:t>
      </w:r>
      <w:r>
        <w:rPr>
          <w:rFonts w:ascii="Malgun Gothic" w:cs="Malgun Gothic" w:eastAsia="Malgun Gothic" w:hAnsi="Malgun Gothic"/>
        </w:rPr>
        <w:t xml:space="preserve">각 절은 ① 쓸 내용(NFPA 551 요건과 조항) → ② 작성 방법(외벽 적용) → ③ 예문(예제 값으로 쓴 문장) → ④ 점검 순서입니다.</w:t>
      </w:r>
    </w:p>
    <w:p>
      <w:pPr>
        <w:pBdr>
          <w:left w:val="single" w:color="0CA30C" w:sz="18" w:space="8"/>
        </w:pBdr>
        <w:shd w:fill="EEF5EC" w:color="auto" w:val="clear"/>
        <w:spacing w:after="60" w:line="300"/>
        <w:ind w:left="160" w:right="160"/>
      </w:pPr>
      <w:r>
        <w:rPr>
          <w:rFonts w:ascii="Malgun Gothic" w:cs="Malgun Gothic" w:eastAsia="Malgun Gothic" w:hAnsi="Malgun Gothic"/>
          <w:b/>
          <w:bCs/>
        </w:rPr>
        <w:t xml:space="preserve">예문의 수치  </w:t>
      </w:r>
      <w:r>
        <w:rPr>
          <w:rFonts w:ascii="Malgun Gothic" w:cs="Malgun Gothic" w:eastAsia="Malgun Gothic" w:hAnsi="Malgun Gothic"/>
        </w:rPr>
        <w:t xml:space="preserve">빈도·분기확률·시간은 절차를 보이기 위한 예시값이며, 측정값은 중공층 시험의 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600</w:t>
      </w:r>
      <w:r>
        <w:rPr>
          <w:rFonts w:ascii="Malgun Gothic" w:cs="Malgun Gothic" w:eastAsia="Malgun Gothic" w:hAnsi="Malgun Gothic"/>
        </w:rPr>
        <w:t xml:space="preserve">(3000 mm)과 플래그 B뿐입니다. 실제 평가에서는 국내 통계·실대형 시험값으로 바꾼 뒤 다시 계산하고 예문의 숫자를 고쳐 쓰십시오.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  <w:b/>
          <w:bCs/>
        </w:rPr>
        <w:t xml:space="preserve">[ ] 표시  </w:t>
      </w:r>
      <w:r>
        <w:rPr>
          <w:rFonts w:ascii="Malgun Gothic" w:cs="Malgun Gothic" w:eastAsia="Malgun Gothic" w:hAnsi="Malgun Gothic"/>
        </w:rPr>
        <w:t xml:space="preserve">평가자가 채울 자리입니다.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0. 개요 — NFPA 551과 이 양식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NFPA 551은 관할기관(AHJ)이 화재위험성평가(FRA)를 검토·승인할 때 쓰는 지침입니다(1.1). 평가 방법을 정하지 않고(1.2) 검토 절차와 문서 요건을 제시하므로, 외벽에 맞는 시나리오·모델·입력값과 서술 방법은 평가자가 구성해야 합니다. 이 양식은 그 문서 요건을 다음 세 묶음으로 정리합니다.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1장 개념보고서(7.2) </w:t>
      </w:r>
      <w:r>
        <w:rPr>
          <w:rFonts w:ascii="Malgun Gothic" w:cs="Malgun Gothic" w:eastAsia="Malgun Gothic" w:hAnsi="Malgun Gothic"/>
        </w:rPr>
        <w:t xml:space="preserve">— 분석 전에 관할기관과 합의할 8항목: 참여자, 범위·목적, 목표, 허용기준, 위험요소, 시나리오, 방법, 자료 출처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2장 정량 결과 문서(7.3.3.4) </w:t>
      </w:r>
      <w:r>
        <w:rPr>
          <w:rFonts w:ascii="Malgun Gothic" w:cs="Malgun Gothic" w:eastAsia="Malgun Gothic" w:hAnsi="Malgun Gothic"/>
        </w:rPr>
        <w:t xml:space="preserve">— 분석 후 제출할 8항목: 빈도, 결과, 위험도, 불확실성, 소프트웨어·모델 평가, 한계, 결론, 참고문헌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3장 운영·유지관리 매뉴얼(7.4)과 이행(7.5) </w:t>
      </w:r>
      <w:r>
        <w:rPr>
          <w:rFonts w:ascii="Malgun Gothic" w:cs="Malgun Gothic" w:eastAsia="Malgun Gothic" w:hAnsi="Malgun Gothic"/>
        </w:rPr>
        <w:t xml:space="preserve">— 평가가 유효하려면 지켜야 할 조건, 변경 관리, 점검·시험·유지관리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4장 검토 대응(8장) </w:t>
      </w:r>
      <w:r>
        <w:rPr>
          <w:rFonts w:ascii="Malgun Gothic" w:cs="Malgun Gothic" w:eastAsia="Malgun Gothic" w:hAnsi="Malgun Gothic"/>
        </w:rPr>
        <w:t xml:space="preserve">— 검토 방식, 검증·확인, 검토 질문 9개의 답 위치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23303D"/>
          <w:sz w:val="20"/>
          <w:szCs w:val="20"/>
        </w:rPr>
        <w:t xml:space="preserve">표 0-1  12단계 절차와 이 양식의 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"/>
        <w:gridCol w:w="2466"/>
        <w:gridCol w:w="1793"/>
        <w:gridCol w:w="3362"/>
        <w:gridCol w:w="1345"/>
      </w:tblGrid>
      <w:tr>
        <w:trPr>
          <w:tblHeader/>
        </w:trPr>
        <w:tc>
          <w:tcPr>
            <w:tcW w:type="dxa" w:w="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NFPA 551</w:t>
            </w:r>
          </w:p>
        </w:tc>
        <w:tc>
          <w:tcPr>
            <w:tcW w:type="dxa" w:w="3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13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양식</w:t>
            </w:r>
          </w:p>
        </w:tc>
      </w:tr>
      <w:tr>
        <w:tc>
          <w:tcPr>
            <w:tcW w:type="dxa" w:w="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24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사전협의 · 문제 정의</w:t>
            </w:r>
          </w:p>
        </w:tc>
        <w:tc>
          <w:tcPr>
            <w:tcW w:type="dxa" w:w="1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4.3, 4.4.1</w:t>
            </w:r>
          </w:p>
        </w:tc>
        <w:tc>
          <w:tcPr>
            <w:tcW w:type="dxa" w:w="3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목적·대상·범위</w:t>
            </w:r>
          </w:p>
        </w:tc>
        <w:tc>
          <w:tcPr>
            <w:tcW w:type="dxa" w:w="13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1.1–1.2</w:t>
            </w:r>
          </w:p>
        </w:tc>
      </w:tr>
      <w:tr>
        <w:tc>
          <w:tcPr>
            <w:tcW w:type="dxa" w:w="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24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위험요소 정의</w:t>
            </w:r>
          </w:p>
        </w:tc>
        <w:tc>
          <w:tcPr>
            <w:tcW w:type="dxa" w:w="1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4.4.2</w:t>
            </w:r>
          </w:p>
        </w:tc>
        <w:tc>
          <w:tcPr>
            <w:tcW w:type="dxa" w:w="3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노출 대상·자극·전달·반응</w:t>
            </w:r>
          </w:p>
        </w:tc>
        <w:tc>
          <w:tcPr>
            <w:tcW w:type="dxa" w:w="13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24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허용기준 설정</w:t>
            </w:r>
          </w:p>
        </w:tc>
        <w:tc>
          <w:tcPr>
            <w:tcW w:type="dxa" w:w="1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4.4.3, A.5.1.2</w:t>
            </w:r>
          </w:p>
        </w:tc>
        <w:tc>
          <w:tcPr>
            <w:tcW w:type="dxa" w:w="3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지표·기준값·신뢰수준</w:t>
            </w:r>
          </w:p>
        </w:tc>
        <w:tc>
          <w:tcPr>
            <w:tcW w:type="dxa" w:w="13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24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방법 선정</w:t>
            </w:r>
          </w:p>
        </w:tc>
        <w:tc>
          <w:tcPr>
            <w:tcW w:type="dxa" w:w="1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4.4.4, 5.1.3</w:t>
            </w:r>
          </w:p>
        </w:tc>
        <w:tc>
          <w:tcPr>
            <w:tcW w:type="dxa" w:w="3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방법·적합성 근거</w:t>
            </w:r>
          </w:p>
        </w:tc>
        <w:tc>
          <w:tcPr>
            <w:tcW w:type="dxa" w:w="13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1.7</w:t>
            </w:r>
          </w:p>
        </w:tc>
      </w:tr>
      <w:tr>
        <w:tc>
          <w:tcPr>
            <w:tcW w:type="dxa" w:w="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24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시나리오 선정·군집</w:t>
            </w:r>
          </w:p>
        </w:tc>
        <w:tc>
          <w:tcPr>
            <w:tcW w:type="dxa" w:w="1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5.1.1.5, 5.5.1.1</w:t>
            </w:r>
          </w:p>
        </w:tc>
        <w:tc>
          <w:tcPr>
            <w:tcW w:type="dxa" w:w="3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초기사건·군집·제외 근거</w:t>
            </w:r>
          </w:p>
        </w:tc>
        <w:tc>
          <w:tcPr>
            <w:tcW w:type="dxa" w:w="13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1.6</w:t>
            </w:r>
          </w:p>
        </w:tc>
      </w:tr>
      <w:tr>
        <w:tc>
          <w:tcPr>
            <w:tcW w:type="dxa" w:w="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24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빈도 분석</w:t>
            </w:r>
          </w:p>
        </w:tc>
        <w:tc>
          <w:tcPr>
            <w:tcW w:type="dxa" w:w="1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5.3</w:t>
            </w:r>
          </w:p>
        </w:tc>
        <w:tc>
          <w:tcPr>
            <w:tcW w:type="dxa" w:w="3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사건수목, 경로별 F</w:t>
            </w:r>
          </w:p>
        </w:tc>
        <w:tc>
          <w:tcPr>
            <w:tcW w:type="dxa" w:w="13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</w:t>
            </w:r>
          </w:p>
        </w:tc>
        <w:tc>
          <w:tcPr>
            <w:tcW w:type="dxa" w:w="24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결과 분석</w:t>
            </w:r>
          </w:p>
        </w:tc>
        <w:tc>
          <w:tcPr>
            <w:tcW w:type="dxa" w:w="1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5.4, 5.4.9</w:t>
            </w:r>
          </w:p>
        </w:tc>
        <w:tc>
          <w:tcPr>
            <w:tcW w:type="dxa" w:w="3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층간 확산 C</w:t>
            </w:r>
          </w:p>
        </w:tc>
        <w:tc>
          <w:tcPr>
            <w:tcW w:type="dxa" w:w="13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</w:t>
            </w:r>
          </w:p>
        </w:tc>
        <w:tc>
          <w:tcPr>
            <w:tcW w:type="dxa" w:w="24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위험도 산정</w:t>
            </w:r>
          </w:p>
        </w:tc>
        <w:tc>
          <w:tcPr>
            <w:tcW w:type="dxa" w:w="1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5.5.1</w:t>
            </w:r>
          </w:p>
        </w:tc>
        <w:tc>
          <w:tcPr>
            <w:tcW w:type="dxa" w:w="3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 = Σ F·C, 초과빈도</w:t>
            </w:r>
          </w:p>
        </w:tc>
        <w:tc>
          <w:tcPr>
            <w:tcW w:type="dxa" w:w="13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2.3</w:t>
            </w:r>
          </w:p>
        </w:tc>
      </w:tr>
      <w:tr>
        <w:tc>
          <w:tcPr>
            <w:tcW w:type="dxa" w:w="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</w:t>
            </w:r>
          </w:p>
        </w:tc>
        <w:tc>
          <w:tcPr>
            <w:tcW w:type="dxa" w:w="24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불확실성 분석</w:t>
            </w:r>
          </w:p>
        </w:tc>
        <w:tc>
          <w:tcPr>
            <w:tcW w:type="dxa" w:w="1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4.5, 5.5.6</w:t>
            </w:r>
          </w:p>
        </w:tc>
        <w:tc>
          <w:tcPr>
            <w:tcW w:type="dxa" w:w="3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분포·신뢰수준·민감도</w:t>
            </w:r>
          </w:p>
        </w:tc>
        <w:tc>
          <w:tcPr>
            <w:tcW w:type="dxa" w:w="13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</w:t>
            </w:r>
          </w:p>
        </w:tc>
        <w:tc>
          <w:tcPr>
            <w:tcW w:type="dxa" w:w="24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검증·확인</w:t>
            </w:r>
          </w:p>
        </w:tc>
        <w:tc>
          <w:tcPr>
            <w:tcW w:type="dxa" w:w="1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5.5.9, 8.2</w:t>
            </w:r>
          </w:p>
        </w:tc>
        <w:tc>
          <w:tcPr>
            <w:tcW w:type="dxa" w:w="3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재현 계산·시험 비교</w:t>
            </w:r>
          </w:p>
        </w:tc>
        <w:tc>
          <w:tcPr>
            <w:tcW w:type="dxa" w:w="13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2.5, 4.2</w:t>
            </w:r>
          </w:p>
        </w:tc>
      </w:tr>
      <w:tr>
        <w:tc>
          <w:tcPr>
            <w:tcW w:type="dxa" w:w="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</w:t>
            </w:r>
          </w:p>
        </w:tc>
        <w:tc>
          <w:tcPr>
            <w:tcW w:type="dxa" w:w="24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문서화</w:t>
            </w:r>
          </w:p>
        </w:tc>
        <w:tc>
          <w:tcPr>
            <w:tcW w:type="dxa" w:w="1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7.2, 7.3.3.4, 7.4</w:t>
            </w:r>
          </w:p>
        </w:tc>
        <w:tc>
          <w:tcPr>
            <w:tcW w:type="dxa" w:w="3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개념보고서·결과문서·매뉴얼</w:t>
            </w:r>
          </w:p>
        </w:tc>
        <w:tc>
          <w:tcPr>
            <w:tcW w:type="dxa" w:w="13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1–3장</w:t>
            </w:r>
          </w:p>
        </w:tc>
      </w:tr>
      <w:tr>
        <w:tc>
          <w:tcPr>
            <w:tcW w:type="dxa" w:w="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</w:t>
            </w:r>
          </w:p>
        </w:tc>
        <w:tc>
          <w:tcPr>
            <w:tcW w:type="dxa" w:w="24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검토·승인</w:t>
            </w:r>
          </w:p>
        </w:tc>
        <w:tc>
          <w:tcPr>
            <w:tcW w:type="dxa" w:w="1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8.1, 8.3</w:t>
            </w:r>
          </w:p>
        </w:tc>
        <w:tc>
          <w:tcPr>
            <w:tcW w:type="dxa" w:w="3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검토 질문 대응</w:t>
            </w:r>
          </w:p>
        </w:tc>
        <w:tc>
          <w:tcPr>
            <w:tcW w:type="dxa" w:w="13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4장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평가 방법의 범주는 NFPA 551 표 5.1.2.1의 ‘정량적 방법’(가능성과 결과를 모두 수치로 결합)입니다. 기존의 R = P × S(확산 등급 × 심각도 등급)는 두 인자가 모두 결과 쪽 지표이므로 위험 지수(정성 범주)에 해당하며, 정량 평가에서는 여기에 사건 빈도 F를 사건수목으로 더합니다(위험 = 확률과 결과의 쌍, 3.3.14).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1. 개념보고서 (NFPA 551 7.2) — 분석 전에 합의할 내용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개념보고서의 목적은 제안하는 평가 접근 방법에 대해 관할기관과 합의하는 것입니다(7.2.1). 분석이 끝난 뒤의 종합 문서에는 이 내용을 변경 사항까지 반영해 다시 넣습니다(7.3.2).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참여자와 자격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7.2.2.1, 1.4, 4.2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평가 준비에 참여한 이해관계자와 그 자격(학력, 화재위험성평가 경력, 전문 자격)을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평가자의 자격은 관할기관이 확인할 수 있도록 문서로 남깁니다(1.4).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평가자 · 자료 제공자(시험기관, 소방서, 관리주체) · 검토자를 나눠 표로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외벽 정량 평가는 화재공학(확산 모델), 시험(중공층·실대형), 통계(빈도)의 전문성이 함께 필요하므로 팀으로 구성하고 분담을 적습니다(A.5.1.3.6).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동료 검토자는 평가에 관여하지 않은 같은 수준의 전문가로 정합니다(8.1.2.1).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본 평가는 [기관명] [팀명]이 수행하였다. 평가 책임자 [성명]은 [학위], 화재위험성평가 경력 [n]년, [자격]을 보유하며 중공층 화재시험 자료의 해석과 확률 모델 계산을 맡았다. 화재 통계는 [기관], 소방 출동 시간 자료는 [소방서]에서 제공받았으며, 동료 검토는 평가에 참여하지 않은 [성명, 소속]이 수행한다.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23303D"/>
          <w:sz w:val="20"/>
          <w:szCs w:val="20"/>
        </w:rPr>
        <w:t xml:space="preserve">표 1-1  참여자 (작성 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157"/>
        <w:gridCol w:w="1542"/>
        <w:gridCol w:w="3277"/>
        <w:gridCol w:w="2313"/>
      </w:tblGrid>
      <w:tr>
        <w:trPr>
          <w:tblHeader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성명</w:t>
            </w:r>
          </w:p>
        </w:tc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소속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학력 · 경력 · 자격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평가 책임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]</w:t>
            </w:r>
          </w:p>
        </w:tc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]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]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방법·모델·결론</w:t>
            </w:r>
          </w:p>
        </w:tc>
      </w:tr>
      <w:t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시험 자료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]</w:t>
            </w:r>
          </w:p>
        </w:tc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]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]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중공층·실대형 시험</w:t>
            </w:r>
          </w:p>
        </w:tc>
      </w:tr>
      <w:t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통계 자료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]</w:t>
            </w:r>
          </w:p>
        </w:tc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]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]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화재 빈도</w:t>
            </w:r>
          </w:p>
        </w:tc>
      </w:tr>
      <w:t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동료 검토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]</w:t>
            </w:r>
          </w:p>
        </w:tc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]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]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독립 검토(8.1.2.1)</w:t>
            </w:r>
          </w:p>
        </w:tc>
      </w:tr>
    </w:tbl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4B5563"/>
          <w:sz w:val="20"/>
          <w:szCs w:val="20"/>
        </w:rPr>
        <w:t xml:space="preserve">점검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역할마다 자격 근거가 있는가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동료 검토자가 평가에 관여하지 않았는가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범위와 목적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7.2.2.2, A.7.2.2.2, 4.4.1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분석의 한계(건물, 건물의 일부, 구성요소)와 평가를 하는 목적을 적습니다(A.7.2.2.2).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목적은 기존 건물의 위험 수준 파악, 위험을 낮추는 방법 도출, 신축·개축에서 수용 가능한 위험의 대안 제시 가운데 무엇인지 밝힙니다(4.4.1.1). 범위 밖의 부수 문제가 평가 목적을 흐리지 않게 합니다(4.4.1.2).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목적을 한 문장으로 씁니다: 대안 비교 / 기존 건물 우선순위 / 동등성 입증.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대상: 건물(층수, 높이, 용도, 세대 수, 재실자), 외벽 시스템(마감재, 중공층 깊이, 단열재 종류·등급, 개구부 차단재, 층간 캐비티 배리어).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포함·제외: 사용 단계에서 외벽이 화염에 노출된 뒤 외벽을 통해 위층으로 번지는 경로만 다루고, 실내 연기 확산·공사 중 화재·인접 건물은 제외합니다(제외 근거는 1.6).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위험의 단위(동·년)를 정해 둡니다.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60" w:line="300"/>
        <w:ind w:left="160" w:right="160"/>
      </w:pPr>
      <w:r>
        <w:rPr>
          <w:rFonts w:ascii="Malgun Gothic" w:cs="Malgun Gothic" w:eastAsia="Malgun Gothic" w:hAnsi="Malgun Gothic"/>
        </w:rPr>
        <w:t xml:space="preserve">본 평가의 목적은 15층 공동주택(60세대, 재실 약 150명)의 외벽에 중공층 100 mm 외단열 시스템을 적용할 때, 단열재 5종(EPS 준불연, PIR(PUR) 가연성·준불연, PF 준불연 외부용·내부용)과 개구부 차단재·층간 캐비티 배리어 적용 여부에 따른 외벽 화재 확산 위험을 정량적으로 비교하는 것이다.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평가 범위는 건물 사용 단계에서 외벽이 화염에 노출된 뒤 외벽을 통해 발화층 위로 번지는 경로로 한정한다. 실내 연기 확산, 공사 중 화재, 인접 건물로의 확산은 범위에서 제외한다. 위험은 건물 1동, 1년 기준으로 나타낸다.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4B5563"/>
          <w:sz w:val="20"/>
          <w:szCs w:val="20"/>
        </w:rPr>
        <w:t xml:space="preserve">점검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목적이 하나로 분명한가(대안 비교 · 우선순위 · 동등성)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외벽 시스템의 구성이 시험 시편과 같은지 적었는가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목표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7.2.2.3, A.7.2.2.3, 4.4.2.1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화재안전 목표를 분명히 적습니다: 생명(재실자·소방관), 재산, 운영, 환경 가운데 무엇을 지키는가.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목표는 일반인도 이해할 수 있는 정성적 표현으로 쓰고(A.7.2.2.3), 1.4의 지표로 측정합니다.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외벽 평가의 1차 목표는 ‘발화층 위 재실자가 외벽을 통해 번진 화재에 피난 전 노출되지 않게 하는 것’입니다.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재산 목표(여러 층으로 번지는 것을 제한)와 소방대 안전(외벽 화재의 고층 진압 한계)을 덧붙입니다.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목표마다 측정 지표를 한 줄로 연결합니다(목표 → 지표 → 기준).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본 평가의 화재안전 목표는 (1) 외벽을 통한 화재 확산으로 발화층 위 거주자가 피난 전에 화염에 노출되는 일을 최소화하고, (2) 외벽 화재가 여러 층으로 번져 건물 피해가 커지는 것을 제한하는 것이다. 목표 (1)은 노출 인원 </w:t>
      </w:r>
      <w:r>
        <w:rPr>
          <w:rFonts w:ascii="Malgun Gothic" w:cs="Malgun Gothic" w:eastAsia="Malgun Gothic" w:hAnsi="Malgun Gothic"/>
        </w:rPr>
        <w:t xml:space="preserve">R</w:t>
      </w:r>
      <w:r>
        <w:rPr>
          <w:rFonts w:ascii="Malgun Gothic" w:cs="Malgun Gothic" w:eastAsia="Malgun Gothic" w:hAnsi="Malgun Gothic"/>
          <w:vertAlign w:val="subscript"/>
        </w:rPr>
        <w:t xml:space="preserve">P</w:t>
      </w:r>
      <w:r>
        <w:rPr>
          <w:rFonts w:ascii="Malgun Gothic" w:cs="Malgun Gothic" w:eastAsia="Malgun Gothic" w:hAnsi="Malgun Gothic"/>
        </w:rPr>
        <w:t xml:space="preserve">와 개인위험도로, 목표 (2)는 발화층 위 확산 층 수의 초과빈도 F(n)로 측정한다.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허용기준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7.2.2.4, 4.4.3, A.5.1.2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평가 결과를 판단할 지표와 기준값을 적습니다. 기준은 상대(기준안과 비교) 또는 절대(예: 연간 사망자)일 수 있고, 정성 또는 정량일 수 있습니다(4.4.3.2).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기준은 사전협의 단계에서 정하며(4.4.3.4), 규정·성능 기준·합의값·표준 가운데 근거를 밝힙니다(4.4.3.5).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정량 기준의 예: 위험의 기대값(금액), 단위 면적당 부상, 점수 체계, 생명 위험 기대값, 화재 손실 비율, 화재 확산 범위(A.5.1.2).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주 지표 하나와 보조 지표를 정합니다. 외벽은 ‘화재 확산 범위’(A.5.1.2의 (6))가 가장 직접적인 지표입니다.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불확실성을 판정에 넣는 방식을 함께 정합니다(예: 인식론적 표본 중 기준을 만족하는 비율 ≥ 90 %).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기준안(불연 단열재 등)과의 상대 비교(</w:t>
      </w:r>
      <w:r>
        <w:rPr>
          <w:rFonts w:ascii="Malgun Gothic" w:cs="Malgun Gothic" w:eastAsia="Malgun Gothic" w:hAnsi="Malgun Gothic"/>
        </w:rPr>
        <w:t xml:space="preserve">RR</w:t>
      </w:r>
      <w:r>
        <w:rPr>
          <w:rFonts w:ascii="Malgun Gothic" w:cs="Malgun Gothic" w:eastAsia="Malgun Gothic" w:hAnsi="Malgun Gothic"/>
          <w:vertAlign w:val="subscript"/>
        </w:rPr>
        <w:t xml:space="preserve">S</w:t>
      </w:r>
      <w:r>
        <w:rPr>
          <w:rFonts w:ascii="Malgun Gothic" w:cs="Malgun Gothic" w:eastAsia="Malgun Gothic" w:hAnsi="Malgun Gothic"/>
        </w:rPr>
        <w:t xml:space="preserve">)를 함께 보고하면 대안 비교 목적에 맞습니다(5.6.1.4).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결과를 본 뒤 기준을 바꾸지 않습니다. 기준을 바꿔야 하면 개념보고서를 고쳐 다시 합의합니다.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60" w:line="300"/>
        <w:ind w:left="160" w:right="160"/>
      </w:pPr>
      <w:r>
        <w:rPr>
          <w:rFonts w:ascii="Malgun Gothic" w:cs="Malgun Gothic" w:eastAsia="Malgun Gothic" w:hAnsi="Malgun Gothic"/>
        </w:rPr>
        <w:t xml:space="preserve">허용기준은 관할기관과의 사전협의에서 다음과 같이 정하였다. 주 지표는 외벽 화재가 발화층 위 2개 층 이상으로 번지는 연간 빈도 F(n ≥ 2)이며, 기준값은 1×10</w:t>
      </w:r>
      <w:r>
        <w:rPr>
          <w:rFonts w:ascii="Malgun Gothic" w:cs="Malgun Gothic" w:eastAsia="Malgun Gothic" w:hAnsi="Malgun Gothic"/>
          <w:vertAlign w:val="superscript"/>
        </w:rPr>
        <w:t xml:space="preserve">−4</w:t>
      </w:r>
      <w:r>
        <w:rPr>
          <w:rFonts w:ascii="Malgun Gothic" w:cs="Malgun Gothic" w:eastAsia="Malgun Gothic" w:hAnsi="Malgun Gothic"/>
        </w:rPr>
        <w:t xml:space="preserve">/동·년이다(예시값). 인식론적 불확실성을 반영하기 위해 몬테카를로 표본 가운데 기준을 만족하는 비율이 90 % 이상이면 ‘충족’, 10 % 이하이면 ‘불충족’, 그 사이는 ‘판단 유보’로 판정한다.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보조 지표로 개인위험도(참고: 영국 HSE R2P2의 10</w:t>
      </w:r>
      <w:r>
        <w:rPr>
          <w:rFonts w:ascii="Malgun Gothic" w:cs="Malgun Gothic" w:eastAsia="Malgun Gothic" w:hAnsi="Malgun Gothic"/>
          <w:vertAlign w:val="superscript"/>
        </w:rPr>
        <w:t xml:space="preserve">−6</w:t>
      </w:r>
      <w:r>
        <w:rPr>
          <w:rFonts w:ascii="Malgun Gothic" w:cs="Malgun Gothic" w:eastAsia="Malgun Gothic" w:hAnsi="Malgun Gothic"/>
        </w:rPr>
        <w:t xml:space="preserve">/년 ‘일반적으로 허용’, 10</w:t>
      </w:r>
      <w:r>
        <w:rPr>
          <w:rFonts w:ascii="Malgun Gothic" w:cs="Malgun Gothic" w:eastAsia="Malgun Gothic" w:hAnsi="Malgun Gothic"/>
          <w:vertAlign w:val="superscript"/>
        </w:rPr>
        <w:t xml:space="preserve">−4</w:t>
      </w:r>
      <w:r>
        <w:rPr>
          <w:rFonts w:ascii="Malgun Gothic" w:cs="Malgun Gothic" w:eastAsia="Malgun Gothic" w:hAnsi="Malgun Gothic"/>
        </w:rPr>
        <w:t xml:space="preserve">/년 ‘일반인 허용 한계’)와 불연 단열재 기준안 대비 상대위험도 </w:t>
      </w:r>
      <w:r>
        <w:rPr>
          <w:rFonts w:ascii="Malgun Gothic" w:cs="Malgun Gothic" w:eastAsia="Malgun Gothic" w:hAnsi="Malgun Gothic"/>
        </w:rPr>
        <w:t xml:space="preserve">RR</w:t>
      </w:r>
      <w:r>
        <w:rPr>
          <w:rFonts w:ascii="Malgun Gothic" w:cs="Malgun Gothic" w:eastAsia="Malgun Gothic" w:hAnsi="Malgun Gothic"/>
          <w:vertAlign w:val="subscript"/>
        </w:rPr>
        <w:t xml:space="preserve">S</w:t>
      </w:r>
      <w:r>
        <w:rPr>
          <w:rFonts w:ascii="Malgun Gothic" w:cs="Malgun Gothic" w:eastAsia="Malgun Gothic" w:hAnsi="Malgun Gothic"/>
        </w:rPr>
        <w:t xml:space="preserve">를 함께 보고한다.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4B5563"/>
          <w:sz w:val="20"/>
          <w:szCs w:val="20"/>
        </w:rPr>
        <w:t xml:space="preserve">점검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기준값의 근거(규정·합의·표준)를 적었는가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불확실성을 판정에 넣는 규칙이 분석 전에 정해졌는가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1.5 위험요소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7.2.2.5, 4.4.2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평가가 다루는 위험요소(hazard)를 적습니다. 위험의 요소는 노출 대상(4.4.2.1), 화재 자극(열·연기·가스·폭발, 4.4.2.2), 자극을 대상까지 옮기는 전달 현상(4.4.2.3), 자극에 대한 대상의 반응과 기준(4.4.2.4)입니다.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외벽은 표 1-2처럼 네 요소를 한 줄씩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중공층 외단열의 특징(중공층의 굴뚝 효과, 단열재 열분해 가스, 용융 낙하물, 버너 소화 후 자립 연소)을 전달 현상에 적습니다.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23303D"/>
          <w:sz w:val="20"/>
          <w:szCs w:val="20"/>
        </w:rPr>
        <w:t xml:space="preserve">표 1-2  외벽 위험요소 (예)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외벽(중공층 외단열)에서의 내용</w:t>
            </w:r>
          </w:p>
        </w:tc>
      </w:tr>
      <w:t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노출 대상 (4.4.2.1)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발화층 위 재실자, 소방대, 건물(외벽·세대 내부)</w:t>
            </w:r>
          </w:p>
        </w:tc>
      </w:tr>
      <w:t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화재 자극 (4.4.2.2)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화염·복사열, 용융·연소 낙하물, 연기·유독가스</w:t>
            </w:r>
          </w:p>
        </w:tc>
      </w:tr>
      <w:t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전달 현상 (4.4.2.3)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창 분출화염 또는 외부 화원 → 외장재·중공층 → 중공층 수직 확산(굴뚝 효과) → 위층 창으로 재유입; 창→창 도약 확산</w:t>
            </w:r>
          </w:p>
        </w:tc>
      </w:tr>
      <w:t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반응·기준 (4.4.2.4)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피난 완료(RSET) 전에 화염이 층에 닿는가, 발화층 위로 몇 개 층이 번지는가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1.6 시나리오와 군집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7.2.2.6, 5.1.1.5, 5.5.1.1, 5.5.1.4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평가에 쓸 시나리오 또는 시나리오 군집을 적고, 비슷한 시나리오를 묶었다면 묶은 근거를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선택한 시나리오가 건물이 겪을 수 있는 모든 시나리오를 대표하는 이유를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비현실적으로 가혹하거나 충분히 드물어 다루지 않은 시나리오는 이유와 함께 적습니다(5.5.1.1). 시나리오를 너무 줄이면 위험을 낮게 평가하게 됩니다(5.5.8).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외벽을 화염에 노출시키는 초기사건으로 군집합니다: IE1 세대 화재 → 창 분출화염, IE2 외부 발화원(필로티·주차 차량, 쓰레기, 외부 설비) → 외벽 하부. 필요하면 IE3 발코니 화재를 추가합니다.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군집 안에서는 발화층(IE1은 층별 균등), 방호 상태(스프링클러, 차단재, 배리어), 재료 반복시험으로 나눕니다. 군집 빈도는 군집에 든 시나리오 빈도의 합입니다(5.1.1.5.3).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EFFECT(NFPA·Arup) 같은 정성 도구로 먼저 대상 건물을 선별했다면 그 결과와 선별 기준을 함께 적습니다.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60" w:line="300"/>
        <w:ind w:left="160" w:right="160"/>
      </w:pPr>
      <w:r>
        <w:rPr>
          <w:rFonts w:ascii="Malgun Gothic" w:cs="Malgun Gothic" w:eastAsia="Malgun Gothic" w:hAnsi="Malgun Gothic"/>
        </w:rPr>
        <w:t xml:space="preserve">외벽을 화염에 노출시키는 사건을 두 초기사건 군집으로 나누었다. IE1은 세대 화재가 스프링클러로 제어되지 않고 최성기에 이르러 창으로 화염이 분출하는 사건으로, 발화층은 1–15층에 균등하게 분포한다고 보았다. IE2는 필로티·주차 차량, 쓰레기 등 외벽 하부의 외부 발화원이 외벽을 직접 노출시키는 사건으로, 1층에서 시작하며 세대 스프링클러의 영향을 받지 않는다.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공사 중 화재는 사용 단계 평가 범위 밖이므로, 방화(다중 발화)는 비현실적으로 가혹한 시나리오로 보아 제외하였다(5.5.1.1). 발코니 화재는 IE3로 추가할 수 있으나 본 평가에서는 다루지 않았으며, 그 영향은 2.6 한계에 적었다.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23303D"/>
          <w:sz w:val="20"/>
          <w:szCs w:val="20"/>
        </w:rPr>
        <w:t xml:space="preserve">표 1-3  제외·보류한 시나리오 (예)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349"/>
        <w:gridCol w:w="5398"/>
      </w:tblGrid>
      <w:tr>
        <w:trPr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판단</w:t>
            </w:r>
          </w:p>
        </w:tc>
        <w:tc>
          <w:tcPr>
            <w:tcW w:type="dxa" w:w="53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공사 중 화재(단열재 노출)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범위 밖</w:t>
            </w:r>
          </w:p>
        </w:tc>
        <w:tc>
          <w:tcPr>
            <w:tcW w:type="dxa" w:w="53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 단계만 평가(1.2) → 별도 평가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방화 · 다중 발화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제외</w:t>
            </w:r>
          </w:p>
        </w:tc>
        <w:tc>
          <w:tcPr>
            <w:tcW w:type="dxa" w:w="53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비현실적으로 가혹(5.5.1.1)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발코니 화재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보류</w:t>
            </w:r>
          </w:p>
        </w:tc>
        <w:tc>
          <w:tcPr>
            <w:tcW w:type="dxa" w:w="53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IE3로 추가 가능(발화층 균등, 스프링클러 무관)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인접 건물 복사열 · 강풍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보류</w:t>
            </w:r>
          </w:p>
        </w:tc>
        <w:tc>
          <w:tcPr>
            <w:tcW w:type="dxa" w:w="53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별도 군집으로 추가 가능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실내 연기 확산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범위 밖</w:t>
            </w:r>
          </w:p>
        </w:tc>
        <w:tc>
          <w:tcPr>
            <w:tcW w:type="dxa" w:w="53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외벽 경로 밖 → 실내 FRA와 결합</w:t>
            </w:r>
          </w:p>
        </w:tc>
      </w:tr>
    </w:tbl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4B5563"/>
          <w:sz w:val="20"/>
          <w:szCs w:val="20"/>
        </w:rPr>
        <w:t xml:space="preserve">점검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제외한 시나리오마다 이유가 있는가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군집의 대표성(발화층 분포, 반복시험 가중)을 적었는가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1.7 평가 방법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7.2.2.7, 4.4.4, 5.1.3, 5.5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사용할 방법과 그 방법이 이 평가에 적합한 이유를 적습니다(7.2.2.7).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방법의 해법, 계산(단위 포함), 일반적이지 않은 식의 출처나 유도를 적습니다(4.4.4.1).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범주: NFPA 551 표 5.1.2.1의 정량적 방법(사건수목 + 화재 모델).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구성: ① 사건수목(빈도 F) ② 층간 확산 결과 모델(결과 C, 중공층 시험 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600</w:t>
      </w:r>
      <w:r>
        <w:rPr>
          <w:rFonts w:ascii="Malgun Gothic" w:cs="Malgun Gothic" w:eastAsia="Malgun Gothic" w:hAnsi="Malgun Gothic"/>
        </w:rPr>
        <w:t xml:space="preserve"> = 층당 확산시간) ③ 위험도 R = Σ F·C(식 5.5.1.2·5.5.1.3) ④ 2중 몬테카를로(불확실성).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적합성: 시험 자료(층당 확산시간, 자립 연소)와 화재 통계(빈도)를 같은 식에서 직접 결합하고, 대안(재료·대책)을 같은 조건에서 비교할 수 있음.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다른 방법을 쓰지 않은 이유(예: 위험 지수·EFFECT는 정성 선별용이라 확정 판정에 쓰지 않음, 5.1.3.1)를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식은 부록 A처럼 기호·단위와 함께 모두 적습니다.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본 평가는 NFPA 551 표 5.1.2.1의 정량적 방법을 사용하였다. 외벽 노출 사건의 빈도는 사건수목으로, 노출 1회당 결과는 중공층 시험의 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600</w:t>
      </w:r>
      <w:r>
        <w:rPr>
          <w:rFonts w:ascii="Malgun Gothic" w:cs="Malgun Gothic" w:eastAsia="Malgun Gothic" w:hAnsi="Malgun Gothic"/>
        </w:rPr>
        <w:t xml:space="preserve">(3000 mm에서 ΔT ≥ 600 K가 시작되는 시각)을 ‘중공층 화재가 한 개 층을 오르는 시간’으로 보는 층간 확산 모델로 계산하였으며, 위험도는 R = Σ F·C로 합산하였다. 입력의 불확실성은 인식론적 2,000 × 우연적 400 표본의 2중 몬테카를로로 전파하였다. 이 방법은 시험 자료와 화재 통계를 같은 식에서 결합하고 재료·대책 대안을 같은 조건에서 비교할 수 있어 평가 목적(1.2)에 적합하다.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1.8 자료 출처와 가정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7.2.2.8, 4.4.5, 6.2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자료의 출처, 가정과 그 근거를 적습니다(7.2.2.8). 자료가 없어 가정값을 쓴 경우 그렇다고 분명히 밝힙니다(4.4.5.4, 6.2.1.3).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자료가 이 용도·지역에 적용되는지(6.2.2), 자료의 불확실성 원천(6.2.3: 표본 크기, 편향, 수집 기간 등)을 검토합니다.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입력마다 값 · 출처 · 종류(측정 · 통계 · 문헌 · 가정)를 표로 적습니다(부록 B).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외국 통계(예: 미국의 스프링클러 작동 통계)를 쓰면 지역·문화적 편향(6.2.2.3)을 적고 국내 자료로 바꿀 계획을 밝힙니다.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반복시험이 2–3회뿐인 시험값은 표본이 작다는 점과 그 처리 방법(예: 자립 연소 확률을 Jeffreys 추정 (k + ½)/(n + 1)로 둠)을 적습니다.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재료 입력은 중공층 화재시험(중공층 100 mm, 외단열 100 mm, 30 kW 가스버너 20분, 30분 평가)의 3000 mm 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600</w:t>
      </w:r>
      <w:r>
        <w:rPr>
          <w:rFonts w:ascii="Malgun Gothic" w:cs="Malgun Gothic" w:eastAsia="Malgun Gothic" w:hAnsi="Malgun Gothic"/>
        </w:rPr>
        <w:t xml:space="preserve">과 버너 소화 후 자립 연소 판정(플래그 B)이며, EPS 가연성은 기록이 4분(240·262 s)뿐이어서 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600</w:t>
      </w:r>
      <w:r>
        <w:rPr>
          <w:rFonts w:ascii="Malgun Gothic" w:cs="Malgun Gothic" w:eastAsia="Malgun Gothic" w:hAnsi="Malgun Gothic"/>
        </w:rPr>
        <w:t xml:space="preserve">을 구할 수 없어 정량 평가에서 제외하였다(6.2.1.3). 세대 화재 빈도, 외부 발화원 빈도, 분기 확률, 소방 진압·피난 시각은 절차 시연을 위한 예시값이며, 부록 B에 각각을 대체할 국내 자료(국가화재정보시스템 통계, 관할 소방서 출동 자료 등)를 적었다.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4B5563"/>
          <w:sz w:val="20"/>
          <w:szCs w:val="20"/>
        </w:rPr>
        <w:t xml:space="preserve">점검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가정값마다 ‘가정’ 표시와 대체 계획이 있는가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외국 자료의 적용성을 검토했는가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2. 정량 결과 문서 (NFPA 551 7.3.3.4) — 분석 후 제출할 내용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정량 모델을 쓴 평가의 종합 문서에는 다음 8항목을 넣습니다(7.3.3.4.1–7.3.3.4.8). 각 절의 표·그림은 계산서(xlsx)와 파이썬 결과(facade_fra/results)에서 그대로 가져옵니다.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빈도 · 확률 분석 결과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7.3.3.4.1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시나리오 또는 군집마다 확률이나 빈도를 적습니다. 확률이면 그 기간을 밝힙니다.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사건수목의 분기와 끝 상태별 빈도를 표 2-1처럼 적고, 단위(/동·년)를 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분기를 서로 독립으로 곱했다면 그 가정을 적습니다(5.3.1.2.2). 독립이 아니면 조건부 확률을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건물 조건(스프링클러 유무 B1/B0)과 대책(M0/M1)에 따라 바뀌는 분기를 구분해 적습니다.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외벽이 화염에 노출되는 연간 빈도는 IE1(세대 화재 → 창 분출화염) 1.3×10</w:t>
      </w:r>
      <w:r>
        <w:rPr>
          <w:rFonts w:ascii="Malgun Gothic" w:cs="Malgun Gothic" w:eastAsia="Malgun Gothic" w:hAnsi="Malgun Gothic"/>
          <w:vertAlign w:val="superscript"/>
        </w:rPr>
        <w:t xml:space="preserve">−4</w:t>
      </w:r>
      <w:r>
        <w:rPr>
          <w:rFonts w:ascii="Malgun Gothic" w:cs="Malgun Gothic" w:eastAsia="Malgun Gothic" w:hAnsi="Malgun Gothic"/>
        </w:rPr>
        <w:t xml:space="preserve">/동·년, IE2(외부 발화원) 6.0×10</w:t>
      </w:r>
      <w:r>
        <w:rPr>
          <w:rFonts w:ascii="Malgun Gothic" w:cs="Malgun Gothic" w:eastAsia="Malgun Gothic" w:hAnsi="Malgun Gothic"/>
          <w:vertAlign w:val="superscript"/>
        </w:rPr>
        <w:t xml:space="preserve">−4</w:t>
      </w:r>
      <w:r>
        <w:rPr>
          <w:rFonts w:ascii="Malgun Gothic" w:cs="Malgun Gothic" w:eastAsia="Malgun Gothic" w:hAnsi="Malgun Gothic"/>
        </w:rPr>
        <w:t xml:space="preserve">/동·년이다(스프링클러 설치 건물, 예시 입력). 세대 스프링클러는 IE1만 줄이므로, 스프링클러가 설치된 건물에서는 외부 발화원이 외벽 노출의 더 큰 몫을 차지한다. 스프링클러가 없는 건물(B0)에서는 IE1이 1.3×10</w:t>
      </w:r>
      <w:r>
        <w:rPr>
          <w:rFonts w:ascii="Malgun Gothic" w:cs="Malgun Gothic" w:eastAsia="Malgun Gothic" w:hAnsi="Malgun Gothic"/>
          <w:vertAlign w:val="superscript"/>
        </w:rPr>
        <w:t xml:space="preserve">−3</w:t>
      </w:r>
      <w:r>
        <w:rPr>
          <w:rFonts w:ascii="Malgun Gothic" w:cs="Malgun Gothic" w:eastAsia="Malgun Gothic" w:hAnsi="Malgun Gothic"/>
        </w:rPr>
        <w:t xml:space="preserve">/동·년으로 10배가 된다. 분기 확률은 서로 독립이라고 보고 곱하였다(5.3.1.2.2).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23303D"/>
          <w:sz w:val="20"/>
          <w:szCs w:val="20"/>
        </w:rPr>
        <w:t xml:space="preserve">표 2-1  사건수목 분기와 빈도 (/동·년, 예시 입력)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277"/>
        <w:gridCol w:w="2120"/>
        <w:gridCol w:w="1638"/>
        <w:gridCol w:w="1639"/>
      </w:tblGrid>
      <w:tr>
        <w:trPr>
          <w:tblHeader/>
        </w:trPr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초기사건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분기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분기 확률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B1 (설치)</w:t>
            </w:r>
          </w:p>
        </w:tc>
        <w:tc>
          <w:tcPr>
            <w:tcW w:type="dxa" w:w="1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B0 (미설치)</w:t>
            </w:r>
          </w:p>
        </w:tc>
      </w:tr>
      <w:tr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IE1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세대 화재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λ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× 세대 수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1.2×10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1.2×10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−2</w:t>
            </w:r>
          </w:p>
        </w:tc>
      </w:tr>
      <w:tr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스프링클러 제어 실패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× (1 −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 (B0: × 1)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1.2×10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1.2×10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−2</w:t>
            </w:r>
          </w:p>
        </w:tc>
      </w:tr>
      <w:tr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최성기 도달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×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FO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1.8×10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1.8×10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</w:tr>
      <w:tr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창 분출화염 =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1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×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v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1.26×10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1.26×10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</w:tr>
      <w:tr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중공층 노출 → 외벽 + 도약 (M0)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×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e0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1.1×10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1.1×10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</w:tr>
      <w:tr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IE2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외부 발화원 화재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λ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2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2.0×10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2.0×10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</w:tr>
      <w:tr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외벽 화염 노출 =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2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×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x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6.0×10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6.0×10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</w:tr>
      <w:tr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중공층 노출 → 외벽 (M0)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×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e0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5.4×10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5.4×10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2.2 결과(피해) 분석 결과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7.3.3.4.2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시나리오 또는 군집마다 결과를 적습니다. 군집을 쓴 경우 그 군집을 대표하는 결과를 어떻게 정했는지 밝힙니다.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재료 입력이 모델에 들어가는 방식을 먼저 적습니다: </w:t>
      </w:r>
      <w:r>
        <w:rPr>
          <w:rFonts w:ascii="Malgun Gothic" w:cs="Malgun Gothic" w:eastAsia="Malgun Gothic" w:hAnsi="Malgun Gothic"/>
        </w:rPr>
        <w:t xml:space="preserve">τ</w:t>
      </w:r>
      <w:r>
        <w:rPr>
          <w:rFonts w:ascii="Malgun Gothic" w:cs="Malgun Gothic" w:eastAsia="Malgun Gothic" w:hAnsi="Malgun Gothic"/>
          <w:vertAlign w:val="subscript"/>
        </w:rPr>
        <w:t xml:space="preserve">F</w:t>
      </w:r>
      <w:r>
        <w:rPr>
          <w:rFonts w:ascii="Malgun Gothic" w:cs="Malgun Gothic" w:eastAsia="Malgun Gothic" w:hAnsi="Malgun Gothic"/>
        </w:rPr>
        <w:t xml:space="preserve"> = s · 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600</w:t>
      </w:r>
      <w:r>
        <w:rPr>
          <w:rFonts w:ascii="Malgun Gothic" w:cs="Malgun Gothic" w:eastAsia="Malgun Gothic" w:hAnsi="Malgun Gothic"/>
        </w:rPr>
        <w:t xml:space="preserve"> · h / 3 m (s: 시험 → 실물 보정), 플래그 B → 자립 연소 확률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B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결과 모델의 식(부록 A)과 멈춤 조건(진압 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FS</w:t>
      </w:r>
      <w:r>
        <w:rPr>
          <w:rFonts w:ascii="Malgun Gothic" w:cs="Malgun Gothic" w:eastAsia="Malgun Gothic" w:hAnsi="Malgun Gothic"/>
        </w:rPr>
        <w:t xml:space="preserve">, 층간 배리어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cb</w:t>
      </w:r>
      <w:r>
        <w:rPr>
          <w:rFonts w:ascii="Malgun Gothic" w:cs="Malgun Gothic" w:eastAsia="Malgun Gothic" w:hAnsi="Malgun Gothic"/>
        </w:rPr>
        <w:t xml:space="preserve">, 비자립 재료의 화원 소멸 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stop</w:t>
      </w:r>
      <w:r>
        <w:rPr>
          <w:rFonts w:ascii="Malgun Gothic" w:cs="Malgun Gothic" w:eastAsia="Malgun Gothic" w:hAnsi="Malgun Gothic"/>
        </w:rPr>
        <w:t xml:space="preserve">)을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군집 대표성: 반복시험 하나하나를 같은 무게의 사건으로, 발화층은 층별 균등(</w:t>
      </w:r>
      <w:r>
        <w:rPr>
          <w:rFonts w:ascii="Malgun Gothic" w:cs="Malgun Gothic" w:eastAsia="Malgun Gothic" w:hAnsi="Malgun Gothic"/>
        </w:rPr>
        <w:t xml:space="preserve">w</w:t>
      </w:r>
      <w:r>
        <w:rPr>
          <w:rFonts w:ascii="Malgun Gothic" w:cs="Malgun Gothic" w:eastAsia="Malgun Gothic" w:hAnsi="Malgun Gothic"/>
          <w:vertAlign w:val="subscript"/>
        </w:rPr>
        <w:t xml:space="preserve">j</w:t>
      </w:r>
      <w:r>
        <w:rPr>
          <w:rFonts w:ascii="Malgun Gothic" w:cs="Malgun Gothic" w:eastAsia="Malgun Gothic" w:hAnsi="Malgun Gothic"/>
        </w:rPr>
        <w:t xml:space="preserve"> = (N − j)/N)으로 반영했음을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결과는 ‘외벽 노출 1회당 기대값’으로 표 2-2처럼 정리합니다.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외벽이 노출된 IE1 사건 1회당 발화층 위로 번지는 층 수의 기대값은 PIR(PUR) 가연성 7.0개 층, PF 준불연 내부용 2.6개 층, 그 밖의 준불연 0.67–0.93개 층이며, 불연 단열재 기준안(창→창 도약만)은 0.14개 층이다(점추정: 진압·피난 완료 15분, 분출 지속 20분, s = 0.5). 개구부 차단재와 층간 배리어를 적용하면 준불연 재료는 0.30–0.48개 층으로 줄어든다. 가연성 등급은 3 m 중공층이 30 s 만에 전면 화염이 되었고 배리어 효과를 입증하는 시험이 없으므로 대책 효과를 인정하지 않았다(5.1.4.5).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23303D"/>
          <w:sz w:val="20"/>
          <w:szCs w:val="20"/>
        </w:rPr>
        <w:t xml:space="preserve">표 2-2  외벽 노출 1회당 결과 (IE1, 점추정)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4"/>
        <w:gridCol w:w="1475"/>
        <w:gridCol w:w="1475"/>
        <w:gridCol w:w="1279"/>
        <w:gridCol w:w="1082"/>
        <w:gridCol w:w="983"/>
        <w:gridCol w:w="1180"/>
      </w:tblGrid>
      <w:tr>
        <w:trPr>
          <w:tblHeader/>
        </w:trPr>
        <w:tc>
          <w:tcPr>
            <w:tcW w:type="dxa" w:w="21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재료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시험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vertAlign w:val="subscript"/>
              </w:rPr>
              <w:t xml:space="preserve">600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 (s)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자립 연소 k/n →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vertAlign w:val="subscript"/>
              </w:rPr>
              <w:t xml:space="preserve">B</w:t>
            </w:r>
          </w:p>
        </w:tc>
        <w:tc>
          <w:tcPr>
            <w:tcW w:type="dxa" w:w="1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E[확산 층 수] 대책 없음</w:t>
            </w:r>
          </w:p>
        </w:tc>
        <w:tc>
          <w:tcPr>
            <w:tcW w:type="dxa" w:w="10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배리어·차단재</w:t>
            </w:r>
          </w:p>
        </w:tc>
        <w:tc>
          <w:tcPr>
            <w:tcW w:type="dxa" w:w="9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P(n ≥ 2)</w:t>
            </w:r>
          </w:p>
        </w:tc>
        <w:tc>
          <w:tcPr>
            <w:tcW w:type="dxa" w:w="1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E[노출 인원]</w:t>
            </w:r>
          </w:p>
        </w:tc>
      </w:tr>
      <w:tr>
        <w:tc>
          <w:tcPr>
            <w:tcW w:type="dxa" w:w="21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불연 단열재(기준안)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0.14</w:t>
            </w:r>
          </w:p>
        </w:tc>
        <w:tc>
          <w:tcPr>
            <w:tcW w:type="dxa" w:w="10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9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0.00</w:t>
            </w:r>
          </w:p>
        </w:tc>
        <w:tc>
          <w:tcPr>
            <w:tcW w:type="dxa" w:w="1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21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EPS 준불연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962 / 미도달 / 975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0/3 → 0.125</w:t>
            </w:r>
          </w:p>
        </w:tc>
        <w:tc>
          <w:tcPr>
            <w:tcW w:type="dxa" w:w="1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0.67</w:t>
            </w:r>
          </w:p>
        </w:tc>
        <w:tc>
          <w:tcPr>
            <w:tcW w:type="dxa" w:w="10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0.30</w:t>
            </w:r>
          </w:p>
        </w:tc>
        <w:tc>
          <w:tcPr>
            <w:tcW w:type="dxa" w:w="9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0.00</w:t>
            </w:r>
          </w:p>
        </w:tc>
        <w:tc>
          <w:tcPr>
            <w:tcW w:type="dxa" w:w="1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3.3</w:t>
            </w:r>
          </w:p>
        </w:tc>
      </w:tr>
      <w:tr>
        <w:tc>
          <w:tcPr>
            <w:tcW w:type="dxa" w:w="21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PIR(PUR) 가연성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31 / 29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0/2 → 0.167</w:t>
            </w:r>
          </w:p>
        </w:tc>
        <w:tc>
          <w:tcPr>
            <w:tcW w:type="dxa" w:w="1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7.00</w:t>
            </w:r>
          </w:p>
        </w:tc>
        <w:tc>
          <w:tcPr>
            <w:tcW w:type="dxa" w:w="10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불인정</w:t>
            </w:r>
          </w:p>
        </w:tc>
        <w:tc>
          <w:tcPr>
            <w:tcW w:type="dxa" w:w="9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0.87</w:t>
            </w:r>
          </w:p>
        </w:tc>
        <w:tc>
          <w:tcPr>
            <w:tcW w:type="dxa" w:w="1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35.0</w:t>
            </w:r>
          </w:p>
        </w:tc>
      </w:tr>
      <w:tr>
        <w:tc>
          <w:tcPr>
            <w:tcW w:type="dxa" w:w="21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PIR(PUR) 준불연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1068 / 1091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0/2 → 0.167</w:t>
            </w:r>
          </w:p>
        </w:tc>
        <w:tc>
          <w:tcPr>
            <w:tcW w:type="dxa" w:w="1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0.93</w:t>
            </w:r>
          </w:p>
        </w:tc>
        <w:tc>
          <w:tcPr>
            <w:tcW w:type="dxa" w:w="10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0.38</w:t>
            </w:r>
          </w:p>
        </w:tc>
        <w:tc>
          <w:tcPr>
            <w:tcW w:type="dxa" w:w="9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0.00</w:t>
            </w:r>
          </w:p>
        </w:tc>
        <w:tc>
          <w:tcPr>
            <w:tcW w:type="dxa" w:w="1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4.7</w:t>
            </w:r>
          </w:p>
        </w:tc>
      </w:tr>
      <w:tr>
        <w:tc>
          <w:tcPr>
            <w:tcW w:type="dxa" w:w="21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PF 준불연 외부용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1245 / 1455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2/2 → 0.833</w:t>
            </w:r>
          </w:p>
        </w:tc>
        <w:tc>
          <w:tcPr>
            <w:tcW w:type="dxa" w:w="1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0.93</w:t>
            </w:r>
          </w:p>
        </w:tc>
        <w:tc>
          <w:tcPr>
            <w:tcW w:type="dxa" w:w="10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0.38</w:t>
            </w:r>
          </w:p>
        </w:tc>
        <w:tc>
          <w:tcPr>
            <w:tcW w:type="dxa" w:w="9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0.00</w:t>
            </w:r>
          </w:p>
        </w:tc>
        <w:tc>
          <w:tcPr>
            <w:tcW w:type="dxa" w:w="1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4.7</w:t>
            </w:r>
          </w:p>
        </w:tc>
      </w:tr>
      <w:tr>
        <w:tc>
          <w:tcPr>
            <w:tcW w:type="dxa" w:w="21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PF 준불연 내부용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556 / 472</w:t>
            </w:r>
          </w:p>
        </w:tc>
        <w:tc>
          <w:tcPr>
            <w:tcW w:type="dxa" w:w="14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1/2 → 0.500</w:t>
            </w:r>
          </w:p>
        </w:tc>
        <w:tc>
          <w:tcPr>
            <w:tcW w:type="dxa" w:w="1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2.60</w:t>
            </w:r>
          </w:p>
        </w:tc>
        <w:tc>
          <w:tcPr>
            <w:tcW w:type="dxa" w:w="10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0.48</w:t>
            </w:r>
          </w:p>
        </w:tc>
        <w:tc>
          <w:tcPr>
            <w:tcW w:type="dxa" w:w="9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0.87</w:t>
            </w:r>
          </w:p>
        </w:tc>
        <w:tc>
          <w:tcPr>
            <w:tcW w:type="dxa" w:w="1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13.0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2.3 위험도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7.3.3.4.3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계산한 위험도는 시나리오 또는 군집마다 확률·빈도와 결과를 곱해 더한 값입니다.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선택한 시나리오가 일어날 수 있는 시나리오 전체를 대표한다고 보는 이유를 함께 적습니다.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식을 적습니다: </w:t>
      </w:r>
      <w:r>
        <w:rPr>
          <w:rFonts w:ascii="Malgun Gothic" w:cs="Malgun Gothic" w:eastAsia="Malgun Gothic" w:hAnsi="Malgun Gothic"/>
        </w:rPr>
        <w:t xml:space="preserve">R</w:t>
      </w:r>
      <w:r>
        <w:rPr>
          <w:rFonts w:ascii="Malgun Gothic" w:cs="Malgun Gothic" w:eastAsia="Malgun Gothic" w:hAnsi="Malgun Gothic"/>
          <w:vertAlign w:val="subscript"/>
        </w:rPr>
        <w:t xml:space="preserve">S</w:t>
      </w:r>
      <w:r>
        <w:rPr>
          <w:rFonts w:ascii="Malgun Gothic" w:cs="Malgun Gothic" w:eastAsia="Malgun Gothic" w:hAnsi="Malgun Gothic"/>
        </w:rPr>
        <w:t xml:space="preserve"> = </w:t>
      </w:r>
      <w:r>
        <w:rPr>
          <w:rFonts w:ascii="Malgun Gothic" w:cs="Malgun Gothic" w:eastAsia="Malgun Gothic" w:hAnsi="Malgun Gothic"/>
        </w:rPr>
        <w:t xml:space="preserve">F</w:t>
      </w:r>
      <w:r>
        <w:rPr>
          <w:rFonts w:ascii="Malgun Gothic" w:cs="Malgun Gothic" w:eastAsia="Malgun Gothic" w:hAnsi="Malgun Gothic"/>
          <w:vertAlign w:val="subscript"/>
        </w:rPr>
        <w:t xml:space="preserve">1</w:t>
      </w:r>
      <w:r>
        <w:rPr>
          <w:rFonts w:ascii="Malgun Gothic" w:cs="Malgun Gothic" w:eastAsia="Malgun Gothic" w:hAnsi="Malgun Gothic"/>
        </w:rPr>
        <w:t xml:space="preserve"> [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e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Malgun Gothic" w:cs="Malgun Gothic" w:eastAsia="Malgun Gothic" w:hAnsi="Malgun Gothic"/>
        </w:rPr>
        <w:t xml:space="preserve">C</w:t>
      </w:r>
      <w:r>
        <w:rPr>
          <w:rFonts w:ascii="Malgun Gothic" w:cs="Malgun Gothic" w:eastAsia="Malgun Gothic" w:hAnsi="Malgun Gothic"/>
          <w:vertAlign w:val="subscript"/>
        </w:rPr>
        <w:t xml:space="preserve">1</w:t>
      </w:r>
      <w:r>
        <w:rPr>
          <w:rFonts w:ascii="Malgun Gothic" w:cs="Malgun Gothic" w:eastAsia="Malgun Gothic" w:hAnsi="Malgun Gothic"/>
        </w:rPr>
        <w:t xml:space="preserve"> + (1 −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e</w:t>
      </w:r>
      <w:r>
        <w:rPr>
          <w:rFonts w:ascii="Malgun Gothic" w:cs="Malgun Gothic" w:eastAsia="Malgun Gothic" w:hAnsi="Malgun Gothic"/>
        </w:rPr>
        <w:t xml:space="preserve">) </w:t>
      </w:r>
      <w:r>
        <w:rPr>
          <w:rFonts w:ascii="Malgun Gothic" w:cs="Malgun Gothic" w:eastAsia="Malgun Gothic" w:hAnsi="Malgun Gothic"/>
        </w:rPr>
        <w:t xml:space="preserve">C</w:t>
      </w:r>
      <w:r>
        <w:rPr>
          <w:rFonts w:ascii="Malgun Gothic" w:cs="Malgun Gothic" w:eastAsia="Malgun Gothic" w:hAnsi="Malgun Gothic"/>
          <w:vertAlign w:val="subscript"/>
        </w:rPr>
        <w:t xml:space="preserve">L</w:t>
      </w:r>
      <w:r>
        <w:rPr>
          <w:rFonts w:ascii="Malgun Gothic" w:cs="Malgun Gothic" w:eastAsia="Malgun Gothic" w:hAnsi="Malgun Gothic"/>
        </w:rPr>
        <w:t xml:space="preserve">] + </w:t>
      </w:r>
      <w:r>
        <w:rPr>
          <w:rFonts w:ascii="Malgun Gothic" w:cs="Malgun Gothic" w:eastAsia="Malgun Gothic" w:hAnsi="Malgun Gothic"/>
        </w:rPr>
        <w:t xml:space="preserve">F</w:t>
      </w:r>
      <w:r>
        <w:rPr>
          <w:rFonts w:ascii="Malgun Gothic" w:cs="Malgun Gothic" w:eastAsia="Malgun Gothic" w:hAnsi="Malgun Gothic"/>
          <w:vertAlign w:val="subscript"/>
        </w:rPr>
        <w:t xml:space="preserve">2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e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Malgun Gothic" w:cs="Malgun Gothic" w:eastAsia="Malgun Gothic" w:hAnsi="Malgun Gothic"/>
        </w:rPr>
        <w:t xml:space="preserve">C</w:t>
      </w:r>
      <w:r>
        <w:rPr>
          <w:rFonts w:ascii="Malgun Gothic" w:cs="Malgun Gothic" w:eastAsia="Malgun Gothic" w:hAnsi="Malgun Gothic"/>
          <w:vertAlign w:val="subscript"/>
        </w:rPr>
        <w:t xml:space="preserve">2</w:t>
      </w:r>
      <w:r>
        <w:rPr>
          <w:rFonts w:ascii="Malgun Gothic" w:cs="Malgun Gothic" w:eastAsia="Malgun Gothic" w:hAnsi="Malgun Gothic"/>
        </w:rPr>
        <w:t xml:space="preserve"> (확산 층 수), 같은 식으로 </w:t>
      </w:r>
      <w:r>
        <w:rPr>
          <w:rFonts w:ascii="Malgun Gothic" w:cs="Malgun Gothic" w:eastAsia="Malgun Gothic" w:hAnsi="Malgun Gothic"/>
        </w:rPr>
        <w:t xml:space="preserve">R</w:t>
      </w:r>
      <w:r>
        <w:rPr>
          <w:rFonts w:ascii="Malgun Gothic" w:cs="Malgun Gothic" w:eastAsia="Malgun Gothic" w:hAnsi="Malgun Gothic"/>
          <w:vertAlign w:val="subscript"/>
        </w:rPr>
        <w:t xml:space="preserve">P</w:t>
      </w:r>
      <w:r>
        <w:rPr>
          <w:rFonts w:ascii="Malgun Gothic" w:cs="Malgun Gothic" w:eastAsia="Malgun Gothic" w:hAnsi="Malgun Gothic"/>
        </w:rPr>
        <w:t xml:space="preserve">(노출 인원)와 초과빈도 F(n).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한 재료에 대해 손계산을 보이면 검토자가 각 단계를 확인하기 쉽습니다(8.2.1.2).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표 2-3처럼 점추정과 몬테카를로 평균·구간을 함께 적고, 초과빈도 곡선(그림 2-1)과 위험도 비교(그림 2-2)를 넣습니다.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초기사건별 기여(IE1 · IE2)를 적어 어떤 대책이 효과적인지 보입니다.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60" w:line="300"/>
        <w:ind w:left="160" w:right="160"/>
      </w:pPr>
      <w:r>
        <w:rPr>
          <w:rFonts w:ascii="Malgun Gothic" w:cs="Malgun Gothic" w:eastAsia="Malgun Gothic" w:hAnsi="Malgun Gothic"/>
        </w:rPr>
        <w:t xml:space="preserve">PF 준불연 내부용(스프링클러 설치, 대책 없음)의 외벽 확산 위험도는 </w:t>
      </w:r>
      <w:r>
        <w:rPr>
          <w:rFonts w:ascii="Malgun Gothic" w:cs="Malgun Gothic" w:eastAsia="Malgun Gothic" w:hAnsi="Malgun Gothic"/>
        </w:rPr>
        <w:t xml:space="preserve">R</w:t>
      </w:r>
      <w:r>
        <w:rPr>
          <w:rFonts w:ascii="Malgun Gothic" w:cs="Malgun Gothic" w:eastAsia="Malgun Gothic" w:hAnsi="Malgun Gothic"/>
          <w:vertAlign w:val="subscript"/>
        </w:rPr>
        <w:t xml:space="preserve">S</w:t>
      </w:r>
      <w:r>
        <w:rPr>
          <w:rFonts w:ascii="Malgun Gothic" w:cs="Malgun Gothic" w:eastAsia="Malgun Gothic" w:hAnsi="Malgun Gothic"/>
        </w:rPr>
        <w:t xml:space="preserve"> = 1.26×10</w:t>
      </w:r>
      <w:r>
        <w:rPr>
          <w:rFonts w:ascii="Malgun Gothic" w:cs="Malgun Gothic" w:eastAsia="Malgun Gothic" w:hAnsi="Malgun Gothic"/>
          <w:vertAlign w:val="superscript"/>
        </w:rPr>
        <w:t xml:space="preserve">−4</w:t>
      </w:r>
      <w:r>
        <w:rPr>
          <w:rFonts w:ascii="Malgun Gothic" w:cs="Malgun Gothic" w:eastAsia="Malgun Gothic" w:hAnsi="Malgun Gothic"/>
        </w:rPr>
        <w:t xml:space="preserve"> × (0.9 × 2.600 + 0.1 × 0.140) + 6.0×10</w:t>
      </w:r>
      <w:r>
        <w:rPr>
          <w:rFonts w:ascii="Malgun Gothic" w:cs="Malgun Gothic" w:eastAsia="Malgun Gothic" w:hAnsi="Malgun Gothic"/>
          <w:vertAlign w:val="superscript"/>
        </w:rPr>
        <w:t xml:space="preserve">−4</w:t>
      </w:r>
      <w:r>
        <w:rPr>
          <w:rFonts w:ascii="Malgun Gothic" w:cs="Malgun Gothic" w:eastAsia="Malgun Gothic" w:hAnsi="Malgun Gothic"/>
        </w:rPr>
        <w:t xml:space="preserve"> × 0.9 × 2.750 = 1.78×10</w:t>
      </w:r>
      <w:r>
        <w:rPr>
          <w:rFonts w:ascii="Malgun Gothic" w:cs="Malgun Gothic" w:eastAsia="Malgun Gothic" w:hAnsi="Malgun Gothic"/>
          <w:vertAlign w:val="superscript"/>
        </w:rPr>
        <w:t xml:space="preserve">−3</w:t>
      </w:r>
      <w:r>
        <w:rPr>
          <w:rFonts w:ascii="Malgun Gothic" w:cs="Malgun Gothic" w:eastAsia="Malgun Gothic" w:hAnsi="Malgun Gothic"/>
        </w:rPr>
        <w:t xml:space="preserve">층/동·년(점추정)이며, 이 가운데 83 %가 외부 발화원(IE2)에서 온다. 발화층 위 2개 층 이상 확산 빈도는 6.4×10</w:t>
      </w:r>
      <w:r>
        <w:rPr>
          <w:rFonts w:ascii="Malgun Gothic" w:cs="Malgun Gothic" w:eastAsia="Malgun Gothic" w:hAnsi="Malgun Gothic"/>
          <w:vertAlign w:val="superscript"/>
        </w:rPr>
        <w:t xml:space="preserve">−4</w:t>
      </w:r>
      <w:r>
        <w:rPr>
          <w:rFonts w:ascii="Malgun Gothic" w:cs="Malgun Gothic" w:eastAsia="Malgun Gothic" w:hAnsi="Malgun Gothic"/>
        </w:rPr>
        <w:t xml:space="preserve">/동·년으로 예시 기준 1×10</w:t>
      </w:r>
      <w:r>
        <w:rPr>
          <w:rFonts w:ascii="Malgun Gothic" w:cs="Malgun Gothic" w:eastAsia="Malgun Gothic" w:hAnsi="Malgun Gothic"/>
          <w:vertAlign w:val="superscript"/>
        </w:rPr>
        <w:t xml:space="preserve">−4</w:t>
      </w:r>
      <w:r>
        <w:rPr>
          <w:rFonts w:ascii="Malgun Gothic" w:cs="Malgun Gothic" w:eastAsia="Malgun Gothic" w:hAnsi="Malgun Gothic"/>
        </w:rPr>
        <w:t xml:space="preserve">/동·년의 6배이다.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두 초기사건은 외벽을 화염에 노출시키는 사용 단계의 경로를 모두 포함하도록 정하였고(1.6), 제외한 시나리오는 표 1-3에 근거와 함께 적었다. 몬테카를로 평균은 2.8×10</w:t>
      </w:r>
      <w:r>
        <w:rPr>
          <w:rFonts w:ascii="Malgun Gothic" w:cs="Malgun Gothic" w:eastAsia="Malgun Gothic" w:hAnsi="Malgun Gothic"/>
          <w:vertAlign w:val="superscript"/>
        </w:rPr>
        <w:t xml:space="preserve">−3</w:t>
      </w:r>
      <w:r>
        <w:rPr>
          <w:rFonts w:ascii="Malgun Gothic" w:cs="Malgun Gothic" w:eastAsia="Malgun Gothic" w:hAnsi="Malgun Gothic"/>
        </w:rPr>
        <w:t xml:space="preserve">층/동·년(90 % 구간 5×10</w:t>
      </w:r>
      <w:r>
        <w:rPr>
          <w:rFonts w:ascii="Malgun Gothic" w:cs="Malgun Gothic" w:eastAsia="Malgun Gothic" w:hAnsi="Malgun Gothic"/>
          <w:vertAlign w:val="superscript"/>
        </w:rPr>
        <w:t xml:space="preserve">−4</w:t>
      </w:r>
      <w:r>
        <w:rPr>
          <w:rFonts w:ascii="Malgun Gothic" w:cs="Malgun Gothic" w:eastAsia="Malgun Gothic" w:hAnsi="Malgun Gothic"/>
        </w:rPr>
        <w:t xml:space="preserve"> – 8×10</w:t>
      </w:r>
      <w:r>
        <w:rPr>
          <w:rFonts w:ascii="Malgun Gothic" w:cs="Malgun Gothic" w:eastAsia="Malgun Gothic" w:hAnsi="Malgun Gothic"/>
          <w:vertAlign w:val="superscript"/>
        </w:rPr>
        <w:t xml:space="preserve">−3</w:t>
      </w:r>
      <w:r>
        <w:rPr>
          <w:rFonts w:ascii="Malgun Gothic" w:cs="Malgun Gothic" w:eastAsia="Malgun Gothic" w:hAnsi="Malgun Gothic"/>
        </w:rPr>
        <w:t xml:space="preserve">)로, 진압이 늦어지는 꼬리 사건 때문에 점추정보다 크다.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23303D"/>
          <w:sz w:val="20"/>
          <w:szCs w:val="20"/>
        </w:rPr>
        <w:t xml:space="preserve">표 2-3  위험도 (스프링클러 설치 건물, 대책 없음)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157"/>
        <w:gridCol w:w="1157"/>
        <w:gridCol w:w="1831"/>
        <w:gridCol w:w="1253"/>
        <w:gridCol w:w="1060"/>
        <w:gridCol w:w="1060"/>
      </w:tblGrid>
      <w:tr>
        <w:trPr>
          <w:tblHeader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재료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 점추정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 MC 평균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 90 % 구간</w:t>
            </w:r>
          </w:p>
        </w:tc>
        <w:tc>
          <w:tcPr>
            <w:tcW w:type="dxa" w:w="1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F(n ≥ 2) MC 평균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RR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 (중앙값)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IE2 비중</w:t>
            </w:r>
          </w:p>
        </w:tc>
      </w:tr>
      <w:t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불연 단열재(기준안)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1.8×10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1.8×10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−6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– 5×10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1.1×10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−6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0 %</w:t>
            </w:r>
          </w:p>
        </w:tc>
      </w:tr>
      <w:t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EPS 준불연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4.4×10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6.8×10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−5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– 2×10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1.6×10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33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82 %</w:t>
            </w:r>
          </w:p>
        </w:tc>
      </w:tr>
      <w:t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PIR(PUR) 가연성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8.4×10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1.1×10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– 3×10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1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8.8×10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630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90 %</w:t>
            </w:r>
          </w:p>
        </w:tc>
      </w:tr>
      <w:t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PIR(PUR) 준불연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6.5×10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8.8×10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– 3×10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2.0×10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41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83 %</w:t>
            </w:r>
          </w:p>
        </w:tc>
      </w:tr>
      <w:t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PF 준불연 외부용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6.5×10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1.0×10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– 3×10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2.5×10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49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83 %</w:t>
            </w:r>
          </w:p>
        </w:tc>
      </w:tr>
      <w:t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PF 준불연 내부용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1.8×10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2.8×10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– 8×10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2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6.4×10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147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83 %</w:t>
            </w:r>
          </w:p>
        </w:tc>
      </w:tr>
    </w:tbl>
    <w:p>
      <w:pPr>
        <w:spacing w:after="160" w:before="60"/>
      </w:pP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단위: 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R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  <w:vertAlign w:val="subscript"/>
        </w:rPr>
        <w:t xml:space="preserve">S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 층/동·년, F /동·년. 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RR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  <w:vertAlign w:val="subscript"/>
        </w:rPr>
        <w:t xml:space="preserve">S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 = 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R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  <w:vertAlign w:val="subscript"/>
        </w:rPr>
        <w:t xml:space="preserve">S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 ÷ 불연 기준안의 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R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  <w:vertAlign w:val="subscript"/>
        </w:rPr>
        <w:t xml:space="preserve">S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그림 2-1  초과빈도 곡선 F(발화층 위 확산 ≥ n) — 재료별, M0(대책 없음)과 M1(차단재 + 배리어)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그림 2-2  외벽 확산 위험도 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R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  <w:vertAlign w:val="subscript"/>
        </w:rPr>
        <w:t xml:space="preserve">S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의 평균과 90 % 구간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불확실성 분석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7.3.3.4.4, 4.5, 5.5.6, A.4.5, A.5.5.6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확률·빈도·결과 예측의 불확실성 원천과 그 처리 방법을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불확실성 원천의 예(A.4.5): 불확실성과 변동성, 이론·모델, 자료·입력, 계산 한계, 시나리오 선택, 인간 행동, 위험 인식·가치.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우연적 불확실성(무작위 변동)과 인식론적 불확실성(지식 부족)을 구분합니다(A.5.5.6).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표 2-4처럼 원천별 내용과 처리를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전파 방법(2중 몬테카를로: 바깥 = 인식론적, 안쪽 = 우연적), 표본 수, 난수 씨앗을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민감도(순위상관 등)로 결론을 좌우하는 입력을 밝히고, 자료 보강 우선순위로 연결합니다(그림 2-3, 표 2-5).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판정은 1.4에서 정한 신뢰수준 규칙으로 합니다(표 2-6).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불확실성은 2중 몬테카를로로 전파하였다. 바깥 루프는 빈도·분기 확률·보정 계수 s·시간 중앙값·자립 연소 확률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B</w:t>
      </w:r>
      <w:r>
        <w:rPr>
          <w:rFonts w:ascii="Malgun Gothic" w:cs="Malgun Gothic" w:eastAsia="Malgun Gothic" w:hAnsi="Malgun Gothic"/>
        </w:rPr>
        <w:t xml:space="preserve">의 인식론적 불확실성 2,000개 표본, 안쪽 루프는 진압·피난 시각, 도약 시간, 분출 지속, 반복시험, 자립 연소 여부의 우연적 변동 400개 표본(라틴 하이퍼큐브)이다. 결론에 가장 큰 영향을 준 입력은 대책이 없을 때 s(ρ = −0.70, PIR(PUR) 준불연)와 외부 발화원 빈도 </w:t>
      </w:r>
      <w:r>
        <w:rPr>
          <w:rFonts w:ascii="Malgun Gothic" w:cs="Malgun Gothic" w:eastAsia="Malgun Gothic" w:hAnsi="Malgun Gothic"/>
        </w:rPr>
        <w:t xml:space="preserve">λ</w:t>
      </w:r>
      <w:r>
        <w:rPr>
          <w:rFonts w:ascii="Malgun Gothic" w:cs="Malgun Gothic" w:eastAsia="Malgun Gothic" w:hAnsi="Malgun Gothic"/>
          <w:vertAlign w:val="subscript"/>
        </w:rPr>
        <w:t xml:space="preserve">2</w:t>
      </w:r>
      <w:r>
        <w:rPr>
          <w:rFonts w:ascii="Malgun Gothic" w:cs="Malgun Gothic" w:eastAsia="Malgun Gothic" w:hAnsi="Malgun Gothic"/>
        </w:rPr>
        <w:t xml:space="preserve">(ρ = +0.71, PF 내부용)이며, 대책을 적용하면 배리어 효과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cb</w:t>
      </w:r>
      <w:r>
        <w:rPr>
          <w:rFonts w:ascii="Malgun Gothic" w:cs="Malgun Gothic" w:eastAsia="Malgun Gothic" w:hAnsi="Malgun Gothic"/>
        </w:rPr>
        <w:t xml:space="preserve">(ρ = −0.49, PF 내부용)가 커졌다. 따라서 실대형 시험(s 보정), 외부 발화원 화재 통계, 배리어를 넣은 중공층 시험이 판정을 확정하는 데 가장 필요한 자료이다.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23303D"/>
          <w:sz w:val="20"/>
          <w:szCs w:val="20"/>
        </w:rPr>
        <w:t xml:space="preserve">표 2-4  불확실성 원천과 처리 (A.4.5의 7개 원천)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241"/>
        <w:gridCol w:w="3469"/>
      </w:tblGrid>
      <w:tr>
        <w:trPr>
          <w:tblHeader/>
        </w:trP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원천</w:t>
            </w:r>
          </w:p>
        </w:tc>
        <w:tc>
          <w:tcPr>
            <w:tcW w:type="dxa" w:w="4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평가에서의 내용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</w:tr>
      <w:t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불확실성과 변동성 (1)</w:t>
            </w:r>
          </w:p>
        </w:tc>
        <w:tc>
          <w:tcPr>
            <w:tcW w:type="dxa" w:w="4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빈도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λ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λ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2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분기 확률(인식론적) / 진압·피난 시각의 사건별 차이(우연적)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인식론적: 바깥 루프 분포 · 우연적: 안쪽 루프 분포</w:t>
            </w:r>
          </w:p>
        </w:tc>
      </w:tr>
      <w:t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이론·모델 (2)</w:t>
            </w:r>
          </w:p>
        </w:tc>
        <w:tc>
          <w:tcPr>
            <w:tcW w:type="dxa" w:w="4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 m 시험 = 1개 층, 층마다 같은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τ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F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; 창→창 도약 모델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보정 계수 s (0.25–1, 로그균등), 실대형 시험으로 확인</w:t>
            </w:r>
          </w:p>
        </w:tc>
      </w:tr>
      <w:t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자료·입력 (3)</w:t>
            </w:r>
          </w:p>
        </w:tc>
        <w:tc>
          <w:tcPr>
            <w:tcW w:type="dxa" w:w="4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반복시험 2–3회, 예시 통계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B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~ Beta(k + ½, n − k + ½), 반복시험을 경험분포로</w:t>
            </w:r>
          </w:p>
        </w:tc>
      </w:tr>
      <w:t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계산 한계 (4)</w:t>
            </w:r>
          </w:p>
        </w:tc>
        <w:tc>
          <w:tcPr>
            <w:tcW w:type="dxa" w:w="4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분기 독립, 해석적 기대값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엑셀·파이썬 독립 구현으로 검증(2.5)</w:t>
            </w:r>
          </w:p>
        </w:tc>
      </w:tr>
      <w:t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시나리오 선택 (5)</w:t>
            </w:r>
          </w:p>
        </w:tc>
        <w:tc>
          <w:tcPr>
            <w:tcW w:type="dxa" w:w="4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IE1 · IE2만, 발코니·바람 제외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제외 목록과 영향(2.6)</w:t>
            </w:r>
          </w:p>
        </w:tc>
      </w:tr>
      <w:t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인간 행동 (6)</w:t>
            </w:r>
          </w:p>
        </w:tc>
        <w:tc>
          <w:tcPr>
            <w:tcW w:type="dxa" w:w="4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피난 개시·속도, 재실 유지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RSET 분포(중앙값 15분, 로그 σ 0.5)</w:t>
            </w:r>
          </w:p>
        </w:tc>
      </w:tr>
      <w:t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위험 인식·가치 (7)</w:t>
            </w:r>
          </w:p>
        </w:tc>
        <w:tc>
          <w:tcPr>
            <w:tcW w:type="dxa" w:w="4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허용기준값과 신뢰수준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예시값으로 명시, 사전협의로 확정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그림 2-3  인식론적 입력과 log 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R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  <w:vertAlign w:val="subscript"/>
        </w:rPr>
        <w:t xml:space="preserve">S</w:t>
      </w: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의 순위상관 ρ (스프링클러 설치 건물)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23303D"/>
          <w:sz w:val="20"/>
          <w:szCs w:val="20"/>
        </w:rPr>
        <w:t xml:space="preserve">표 2-5  민감도 상위 입력 (ρ, log R_S)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024"/>
        <w:gridCol w:w="2024"/>
        <w:gridCol w:w="2024"/>
        <w:gridCol w:w="2024"/>
      </w:tblGrid>
      <w:tr>
        <w:trPr>
          <w:tblHeader/>
        </w:trPr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M0 · PIR(PUR) 준불연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M0 · PF 내부용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M1 · PIR(PUR) 준불연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M1 · PF 내부용</w:t>
            </w:r>
          </w:p>
        </w:tc>
      </w:tr>
      <w:tr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−0.70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−0.49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−0.48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−0.11</w:t>
            </w:r>
          </w:p>
        </w:tc>
      </w:tr>
      <w:tr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λ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2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+0.52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+0.71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+0.51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+0.68</w:t>
            </w:r>
          </w:p>
        </w:tc>
      </w:tr>
      <w:tr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x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+0.22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+0.29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+0.22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+0.27</w:t>
            </w:r>
          </w:p>
        </w:tc>
      </w:tr>
      <w:tr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FS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+0.16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+0.17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+0.17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+0.09</w:t>
            </w:r>
          </w:p>
        </w:tc>
      </w:tr>
      <w:tr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cb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−0.02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−0.04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−0.35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−0.49</w:t>
            </w:r>
          </w:p>
        </w:tc>
      </w:tr>
      <w:tr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e1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−0.00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−0.01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+0.23</w:t>
            </w:r>
          </w:p>
        </w:tc>
        <w:tc>
          <w:tcPr>
            <w:tcW w:type="dxa" w:w="2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+0.27</w:t>
            </w:r>
          </w:p>
        </w:tc>
      </w:tr>
    </w:tbl>
    <w:p>
      <w:pPr>
        <w:spacing w:after="80"/>
      </w:pP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23303D"/>
          <w:sz w:val="20"/>
          <w:szCs w:val="20"/>
        </w:rPr>
        <w:t xml:space="preserve">표 2-6  허용기준 판정 (F(n ≥ 2) ≤ 기준값을 만족하는 인식론적 표본 비율, 신뢰수준 90 %)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638"/>
        <w:gridCol w:w="1735"/>
        <w:gridCol w:w="1638"/>
        <w:gridCol w:w="1736"/>
      </w:tblGrid>
      <w:tr>
        <w:trPr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재료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M0 충족 비율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M0 판정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M1 충족 비율</w:t>
            </w:r>
          </w:p>
        </w:tc>
        <w:tc>
          <w:tcPr>
            <w:tcW w:type="dxa" w:w="17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M1 판정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불연 단열재(기준안)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100.0 %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F3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충족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100.0 %</w:t>
            </w:r>
          </w:p>
        </w:tc>
        <w:tc>
          <w:tcPr>
            <w:tcW w:type="dxa" w:w="17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F3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EPS 준불연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54.6 %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D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판단 유보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99.8 %</w:t>
            </w:r>
          </w:p>
        </w:tc>
        <w:tc>
          <w:tcPr>
            <w:tcW w:type="dxa" w:w="17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F3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PIR(PUR) 가연성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0.1 %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DED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불충족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0.1 %</w:t>
            </w:r>
          </w:p>
        </w:tc>
        <w:tc>
          <w:tcPr>
            <w:tcW w:type="dxa" w:w="17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DED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불충족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PIR(PUR) 준불연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52.0 %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D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판단 유보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99.4 %</w:t>
            </w:r>
          </w:p>
        </w:tc>
        <w:tc>
          <w:tcPr>
            <w:tcW w:type="dxa" w:w="17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F3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PF 준불연 외부용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41.0 %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D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판단 유보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99.2 %</w:t>
            </w:r>
          </w:p>
        </w:tc>
        <w:tc>
          <w:tcPr>
            <w:tcW w:type="dxa" w:w="17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F3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PF 준불연 내부용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2.1 %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DED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불충족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95.7 %</w:t>
            </w:r>
          </w:p>
        </w:tc>
        <w:tc>
          <w:tcPr>
            <w:tcW w:type="dxa" w:w="17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F3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충족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2.5 소프트웨어와 모델 평가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7.3.3.4.5, 6.2.4.2, 5.5.9, 8.2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사용한 모델이 이 상황에 적합한 이유를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계산 코드는 작성자·버전·입출력 형식·실행 환경과, 검증·확인(V&amp;V) 여부를 밝힙니다(6.2.4.2). 결과·빈도 추정에 쓴 방법의 확인 근거를 제출합니다(5.5.9).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코드와 버전: facade_fra/qfra.py(Python, NumPy·pandas), 외벽_QFRA_계산서.xlsx(엑셀 수식).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검증(8.2.1): 두 구현의 결과 비교(대체 계산 재현), 손계산 확인, 몬테카를로가 변동 0에서 점추정과 같은지.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확인(8.2.2): 재료 입력은 시험값 자체이므로 3 m 안에서는 일치; ‘3 m = 1개 층’ 외삽은 실대형 시험·PyroSim(FDS) 계산과 비교해야 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적용 범위: 준불연·탄화형과 용융형(EPS)은 반복시험 값으로, 가연성은 시험값만(대책 효과 불인정), 층고는 h/3 m 비율로.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계산은 파이썬 스크립트 qfra.py와 엑셀 계산서로 따로 구현하였다. 엑셀 수식 3,986개로 계산한 점추정 24경우 × 5지표(120개 값)는 파이썬 결과와 최대 상대차 3.7×10</w:t>
      </w:r>
      <w:r>
        <w:rPr>
          <w:rFonts w:ascii="Malgun Gothic" w:cs="Malgun Gothic" w:eastAsia="Malgun Gothic" w:hAnsi="Malgun Gothic"/>
          <w:vertAlign w:val="superscript"/>
        </w:rPr>
        <w:t xml:space="preserve">−13</w:t>
      </w:r>
      <w:r>
        <w:rPr>
          <w:rFonts w:ascii="Malgun Gothic" w:cs="Malgun Gothic" w:eastAsia="Malgun Gothic" w:hAnsi="Malgun Gothic"/>
        </w:rPr>
        <w:t xml:space="preserve">로 일치하였다(8.2.1.1). 몬테카를로의 우연적 변동을 0으로 두면 결과가 점추정과 같음을 확인하였다. 재료 입력은 중공층 시험값이므로 3 m 범위에서는 시험과 일치하지만, 한 층씩 같은 시간으로 오른다는 외삽은 아직 실대형 시험으로 확인되지 않았다(2.6).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2.6 한계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7.3.3.4.6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모델과 분석 범위에서 오는 한계를 모두 적습니다.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가장 영향이 큰 한계부터 적고, 각 한계가 결과를 높게 또는 낮게 만드는 방향을 함께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한계마다 해소 방법(추가 시험·자료)을 짝지어 적습니다.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본 평가의 주요 한계는 다음과 같다. ① 3 m 중규모 중공층 시험을 ‘1개 층 확산’으로 보고 층마다 같은 시간으로 외삽하였다(보정 계수 s = 0.25–1 가정). ② 빈도·분기 확률·시간은 예시값으로 국내 통계를 반영하지 않았다. ③ 분기를 독립으로 보았고 수평 확산, 바람, 낙하물에 의한 하부 착화는 다루지 않았다. ④ 노출은 피난 완료 전 화염 도달로 정의하여 연기 영향은 포함하지 않았다. ⑤ 반복시험이 2–3회로 적고, EPS 가연성은 자료가 없다.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2.7 결론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7.3.3.4.7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평가 결과를 허용기준과 비교한 판정(해당하면 합격·불합격)을 요약합니다.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평가 목적과 목표를 어느 정도 달성했는지, 결과가 이 목적에 적절하고 충분한지 적습니다.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판정은 1.4의 규칙 그대로 적습니다(표 2-6).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조건부 결론은 조건(대책, 관리 조건)을 함께 적고, 그 조건을 3장 운영·유지관리에 넘깁니다.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판단 유보가 있으면 판정을 확정하는 데 필요한 자료를 적습니다.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예시 입력과 예시 기준(F(n ≥ 2) ≤ 1×10</w:t>
      </w:r>
      <w:r>
        <w:rPr>
          <w:rFonts w:ascii="Malgun Gothic" w:cs="Malgun Gothic" w:eastAsia="Malgun Gothic" w:hAnsi="Malgun Gothic"/>
          <w:vertAlign w:val="superscript"/>
        </w:rPr>
        <w:t xml:space="preserve">−4</w:t>
      </w:r>
      <w:r>
        <w:rPr>
          <w:rFonts w:ascii="Malgun Gothic" w:cs="Malgun Gothic" w:eastAsia="Malgun Gothic" w:hAnsi="Malgun Gothic"/>
        </w:rPr>
        <w:t xml:space="preserve">/동·년, 신뢰수준 90 %)으로 판정한 결과(대책 없음 → 차단재 + 배리어)는 EPS 준불연 판단 유보 → 충족, PIR(PUR) 가연성 불충족 → 불충족, PIR(PUR) 준불연 판단 유보 → 충족, PF 준불연 외부용 판단 유보 → 충족, PF 준불연 내부용 불충족 → 충족이다. 준불연 4종은 개구부 불연 차단재와 층간 캐비티 배리어를 함께 적용할 때 기준을 충족하며(충족 비율 96 % 이상), 이 결론은 배리어·차단재가 설계대로 시공·유지되는 조건(3장)에서 유효하다. 가연성 PIR(PUR)은 대책 효과를 입증하는 시험 자료가 없어 기준을 충족하지 못한다. 대책 없는 준불연 3종의 ‘판단 유보’를 확정하려면 실대형 시험에 의한 s 보정과 외부 발화원 화재 통계가 필요하다.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2.8 참고문헌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7.3.3.4.8, 6.2.1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입력 자료의 출처와 그 자료가 이 평가에 적합한 이유를 적습니다. 도면, 보고서, 매뉴얼, 간행물, 규정, 표준의 판·발행일을 적습니다.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공개 자료는 제목, 저자, 쪽·표·그림 번호, 발행처, 발행일을 적습니다(6.2.1.1). 비공개 자료는 제공자와 접근 방법을 적습니다(6.2.1.2).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계산 파일은 버전과 날짜를 붙여 보관합니다(6.2.1.4).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60" w:line="300"/>
        <w:ind w:left="160" w:right="160"/>
      </w:pPr>
      <w:r>
        <w:rPr>
          <w:rFonts w:ascii="Malgun Gothic" w:cs="Malgun Gothic" w:eastAsia="Malgun Gothic" w:hAnsi="Malgun Gothic"/>
        </w:rPr>
        <w:t xml:space="preserve">NFPA 551, Guide for the Evaluation of Fire Risk Assessments, 2022 Edition, National Fire Protection Association.</w:t>
      </w:r>
    </w:p>
    <w:p>
      <w:pPr>
        <w:pBdr>
          <w:left w:val="single" w:color="0CA30C" w:sz="18" w:space="8"/>
        </w:pBdr>
        <w:shd w:fill="EEF5EC" w:color="auto" w:val="clear"/>
        <w:spacing w:after="60" w:line="300"/>
        <w:ind w:left="160" w:right="160"/>
      </w:pPr>
      <w:r>
        <w:rPr>
          <w:rFonts w:ascii="Malgun Gothic" w:cs="Malgun Gothic" w:eastAsia="Malgun Gothic" w:hAnsi="Malgun Gothic"/>
        </w:rPr>
        <w:t xml:space="preserve">HSE, Reducing risks, protecting people (R2P2), Health and Safety Executive, 2001.</w:t>
      </w:r>
    </w:p>
    <w:p>
      <w:pPr>
        <w:pBdr>
          <w:left w:val="single" w:color="0CA30C" w:sz="18" w:space="8"/>
        </w:pBdr>
        <w:shd w:fill="EEF5EC" w:color="auto" w:val="clear"/>
        <w:spacing w:after="60" w:line="300"/>
        <w:ind w:left="160" w:right="160"/>
      </w:pPr>
      <w:r>
        <w:rPr>
          <w:rFonts w:ascii="Malgun Gothic" w:cs="Malgun Gothic" w:eastAsia="Malgun Gothic" w:hAnsi="Malgun Gothic"/>
        </w:rPr>
        <w:t xml:space="preserve">NFPA · Arup, EFFECT (Exterior Façade Fire Evaluation Comparison Tool), 2018 — [사용자 가이드 판·발행일].</w:t>
      </w:r>
    </w:p>
    <w:p>
      <w:pPr>
        <w:pBdr>
          <w:left w:val="single" w:color="0CA30C" w:sz="18" w:space="8"/>
        </w:pBdr>
        <w:shd w:fill="EEF5EC" w:color="auto" w:val="clear"/>
        <w:spacing w:after="60" w:line="300"/>
        <w:ind w:left="160" w:right="160"/>
      </w:pPr>
      <w:r>
        <w:rPr>
          <w:rFonts w:ascii="Malgun Gothic" w:cs="Malgun Gothic" w:eastAsia="Malgun Gothic" w:hAnsi="Malgun Gothic"/>
        </w:rPr>
        <w:t xml:space="preserve">[기관명], 중공층 외단열 화재시험 보고서(중공층 100 mm, 외단열 100 mm, 30 kW 20분), [발행일].</w:t>
      </w:r>
    </w:p>
    <w:p>
      <w:pPr>
        <w:pBdr>
          <w:left w:val="single" w:color="0CA30C" w:sz="18" w:space="8"/>
        </w:pBdr>
        <w:shd w:fill="EEF5EC" w:color="auto" w:val="clear"/>
        <w:spacing w:after="60" w:line="300"/>
        <w:ind w:left="160" w:right="160"/>
      </w:pPr>
      <w:r>
        <w:rPr>
          <w:rFonts w:ascii="Malgun Gothic" w:cs="Malgun Gothic" w:eastAsia="Malgun Gothic" w:hAnsi="Malgun Gothic"/>
        </w:rPr>
        <w:t xml:space="preserve">KS F 8414, [외벽 실물모형 화재시험 표준명], [판].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소방청, 국가화재정보시스템 화재 통계, [조회 기간·조회일].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3. 운영 · 유지관리 매뉴얼 (NFPA 551 7.4)과 이행 (7.5)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운영·유지관리 매뉴얼은 평가에서 내린 결정이 계속 유효하도록 지켜야 할 조건(사용 제한, 점검·시험·유지관리 요건)을 건물 소유자·관리자가 쓸 수 있게 적은 문서입니다(7.4.1). 외벽 평가는 평가 때의 재료·차단재·배리어·발화원 관리가 그대로일 때만 유효합니다.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한계 · 가정 목록과 관리 대책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7.4.2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평가에 쓴 단순화와 그에 따른 한계·가정을 목록으로 적고(7.4.2.1), 그 가정을 지키는 관리 대책(행정 프로그램, 설계 요소)을 적습니다(7.4.2.2).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가정마다 ‘지켜야 할 조건’으로 바꿔 씁니다: 재료, 차단재·배리어, 발화원 관리, 스프링클러.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조건이 깨지면 바뀌는 입력(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cb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</w:rPr>
        <w:t xml:space="preserve">λ</w:t>
      </w:r>
      <w:r>
        <w:rPr>
          <w:rFonts w:ascii="Malgun Gothic" w:cs="Malgun Gothic" w:eastAsia="Malgun Gothic" w:hAnsi="Malgun Gothic"/>
          <w:vertAlign w:val="subscript"/>
        </w:rPr>
        <w:t xml:space="preserve">2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s</w:t>
      </w:r>
      <w:r>
        <w:rPr>
          <w:rFonts w:ascii="Malgun Gothic" w:cs="Malgun Gothic" w:eastAsia="Malgun Gothic" w:hAnsi="Malgun Gothic"/>
        </w:rPr>
        <w:t xml:space="preserve">)을 적어 두면 재평가 범위가 분명해집니다.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본 평가는 다음 조건에서 유효하다. ① 외장재·단열재는 평가한 제품과 같은 구성일 것. ② 개구부 불연 차단재와 층간 캐비티 배리어가 설계대로 시공되고 관통부가 없을 것(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e1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cb</w:t>
      </w:r>
      <w:r>
        <w:rPr>
          <w:rFonts w:ascii="Malgun Gothic" w:cs="Malgun Gothic" w:eastAsia="Malgun Gothic" w:hAnsi="Malgun Gothic"/>
        </w:rPr>
        <w:t xml:space="preserve">). ③ 필로티·외벽 하부에 차량·쓰레기 등 가연물을 두지 않을 것(</w:t>
      </w:r>
      <w:r>
        <w:rPr>
          <w:rFonts w:ascii="Malgun Gothic" w:cs="Malgun Gothic" w:eastAsia="Malgun Gothic" w:hAnsi="Malgun Gothic"/>
        </w:rPr>
        <w:t xml:space="preserve">λ</w:t>
      </w:r>
      <w:r>
        <w:rPr>
          <w:rFonts w:ascii="Malgun Gothic" w:cs="Malgun Gothic" w:eastAsia="Malgun Gothic" w:hAnsi="Malgun Gothic"/>
          <w:vertAlign w:val="subscript"/>
        </w:rPr>
        <w:t xml:space="preserve">2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x</w:t>
      </w:r>
      <w:r>
        <w:rPr>
          <w:rFonts w:ascii="Malgun Gothic" w:cs="Malgun Gothic" w:eastAsia="Malgun Gothic" w:hAnsi="Malgun Gothic"/>
        </w:rPr>
        <w:t xml:space="preserve">). ④ 세대 스프링클러가 작동 상태로 유지될 것(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s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변경 관리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7.4.3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평가는 사용한 입력 조건에서만 유효하므로, 어떤 변경이 새 평가를 필요로 하는지와 평가가 유효한 조건을 적습니다(7.4.3.2).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변경으로 위험이 모르게 바뀌지 않도록 교육, 절차, 변경 승인, 감사 같은 통제를 둡니다(7.4.3.3).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재평가 계기를 목록으로: 외장 교체, 리모델링·창호 교체, 설비 관통부 추가, 발코니 확장, 필로티 용도 변경.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변경 전 영향 검토와 기록 방법을 적습니다.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외장재 교체, 창호 교체, 외벽 관통부 추가, 발코니 확장, 필로티 주차장 용도 변경은 이 평가의 입력을 바꾸므로, 시행 전에 [관리주체]가 영향 검토를 요청하고 필요하면 재평가한다. 변경 내용과 검토 결과는 평가 문서의 변경 이력에 기록한다.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점검 · 시험 · 유지관리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7.4.4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평가가 근거로 삼은 점검·시험·유지관리(ITM) 요건을 적습니다. ITM은 인정한 설비·구성요소의 작동성과 가용성에 영향을 줍니다(7.4.4.2).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대상별 주기와 담당: 배리어·차단재(관통부·시공 하자), 스프링클러(작동 시험), 필로티(적치물·주차).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점검 결과로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s</w:t>
      </w:r>
      <w:r>
        <w:rPr>
          <w:rFonts w:ascii="Malgun Gothic" w:cs="Malgun Gothic" w:eastAsia="Malgun Gothic" w:hAnsi="Malgun Gothic"/>
        </w:rPr>
        <w:t xml:space="preserve"> ·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e</w:t>
      </w:r>
      <w:r>
        <w:rPr>
          <w:rFonts w:ascii="Malgun Gothic" w:cs="Malgun Gothic" w:eastAsia="Malgun Gothic" w:hAnsi="Malgun Gothic"/>
        </w:rPr>
        <w:t xml:space="preserve"> ·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cb</w:t>
      </w:r>
      <w:r>
        <w:rPr>
          <w:rFonts w:ascii="Malgun Gothic" w:cs="Malgun Gothic" w:eastAsia="Malgun Gothic" w:hAnsi="Malgun Gothic"/>
        </w:rPr>
        <w:t xml:space="preserve"> 가정을 갱신하는 절차를 적습니다.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층간 캐비티 배리어와 개구부 차단재는 [주기]마다 관통부와 시공 하자를 점검하고, 세대 스프링클러는 [주기]마다 작동 시험을 한다. 필로티 주차·적치물은 [주기]마다 점검한다. 점검 결과는 [기관]에 제출하며, 결함률이 가정을 넘으면 해당 분기 확률을 고쳐 재계산한다.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3.4 이행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7.5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관리 조건과 설비가 제대로 유지되도록 하는 이행 수단을 적습니다(7.5.1). 사후 발견(제품 리콜, 예상하지 못한 거동)이 있으면 평가를 갱신하는 방법을 적습니다(7.5.4).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점검 기록 제출 주기·담당, 미이행 시 조치(관할 규정 연계), 재평가 계기를 관리 규약·계약에 반영.</w:t>
      </w:r>
    </w:p>
    <w:p>
      <w:pPr>
        <w:pBdr>
          <w:left w:val="single" w:color="0CA30C" w:sz="18" w:space="8"/>
        </w:pBdr>
        <w:shd w:fill="EEF5EC" w:color="auto" w:val="clear"/>
        <w:spacing w:after="40" w:before="120"/>
        <w:ind w:left="160" w:right="160"/>
      </w:pPr>
      <w:r>
        <w:rPr>
          <w:rFonts w:ascii="Malgun Gothic" w:cs="Malgun Gothic" w:eastAsia="Malgun Gothic" w:hAnsi="Malgun Gothic"/>
          <w:b/>
          <w:bCs/>
          <w:color w:val="0A7A0A"/>
          <w:sz w:val="18"/>
          <w:szCs w:val="18"/>
        </w:rPr>
        <w:t xml:space="preserve">예문</w:t>
      </w:r>
    </w:p>
    <w:p>
      <w:pPr>
        <w:pBdr>
          <w:left w:val="single" w:color="0CA30C" w:sz="18" w:space="8"/>
        </w:pBdr>
        <w:shd w:fill="EEF5EC" w:color="auto" w:val="clear"/>
        <w:spacing w:after="160" w:line="300"/>
        <w:ind w:left="160" w:right="160"/>
      </w:pPr>
      <w:r>
        <w:rPr>
          <w:rFonts w:ascii="Malgun Gothic" w:cs="Malgun Gothic" w:eastAsia="Malgun Gothic" w:hAnsi="Malgun Gothic"/>
        </w:rPr>
        <w:t xml:space="preserve">점검 기록은 [주기]마다 관할기관에 제출하며, 미이행 시 [관할 규정]에 따른다. 외장 제품의 리콜이나 시공 하자가 발견되면 [기간] 안에 재평가한다.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4. 검토 대응 (NFPA 551 8장)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검토 방식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8.1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관할기관은 평가 문서를 직접 검토하거나(8.1.1), 제3자에게 맡깁니다(8.1.2): 동료 검토(제3자가 의견을 내고 관할기관이 판단, 8.1.2.1) 또는 계약 검토(제3자가 승인·보완·반려까지 결정, 8.1.2.2).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개념보고서 단계에서 검토 방식과 검토자를 정해 둡니다(4.3.2.1).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동료 검토자는 평가에 관여하지 않은 같은 수준의 전문가여야 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검증 · 확인 요약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쓸 내용 — NFPA 551 8.2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검증(8.2.1)은 수식과 계산이 맞는지: 대체 계산에 의한 재현, 단계별 확인, 표본 감사.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확인(8.2.2)은 결과가 실제 위험을 대표하는지: 대체 모델과 비교, 시험 결과와 비교, 완성된 건물에서의 실증.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A7A0A"/>
          <w:sz w:val="20"/>
          <w:szCs w:val="20"/>
        </w:rPr>
        <w:t xml:space="preserve">작성 방법 — 외벽(중공층 외단열)에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2.5의 검증 결과와 확인 계획을 요약하고, 남은 확인 항목(실대형 시험, PyroSim 비교)의 일정을 적습니다.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검토 질문 대응표 (8.3)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검토자는 다음 9개 질문으로 평가가 제대로 되었는지 확인합니다. 답이 문서의 어디에 있는지 미리 표로 붙여 두면 검토가 빨라집니다.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012"/>
        <w:gridCol w:w="3855"/>
      </w:tblGrid>
      <w:tr>
        <w:trPr>
          <w:tblHeader/>
        </w:trP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8.3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검토 질문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답하는 위치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(1)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평가 목적이 명시되었는가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1.2 범위와 목적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(2)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평가 범위가 명시되었는가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1.2 범위와 목적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(3)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방법과 그 적합성 근거가 있는가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1.7 평가 방법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(4)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한계가 명시되었는가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2.6 한계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(5)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분석 결과가 포함되었는가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2.1–2.4, 계산서 5_위험도 · 6_불확실성(MC)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(6)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결론이 포함되었는가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2.7 결론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(7)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운영·유지관리 매뉴얼이 있는가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(8)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변경 관리 지침이 있는가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(9)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점검·시험·유지관리 프로그램이 있는가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3.3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부록 A. 계산식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위험도 (5.5.1.2·5.5.1.3)  </w:t>
      </w:r>
      <w:r>
        <w:rPr>
          <w:rFonts w:ascii="Malgun Gothic" w:cs="Malgun Gothic" w:eastAsia="Malgun Gothic" w:hAnsi="Malgun Gothic"/>
        </w:rPr>
        <w:t xml:space="preserve">R</w:t>
      </w:r>
      <w:r>
        <w:rPr>
          <w:rFonts w:ascii="Malgun Gothic" w:cs="Malgun Gothic" w:eastAsia="Malgun Gothic" w:hAnsi="Malgun Gothic"/>
          <w:vertAlign w:val="subscript"/>
        </w:rPr>
        <w:t xml:space="preserve">t</w:t>
      </w:r>
      <w:r>
        <w:rPr>
          <w:rFonts w:ascii="Malgun Gothic" w:cs="Malgun Gothic" w:eastAsia="Malgun Gothic" w:hAnsi="Malgun Gothic"/>
        </w:rPr>
        <w:t xml:space="preserve"> = Σ </w:t>
      </w:r>
      <w:r>
        <w:rPr>
          <w:rFonts w:ascii="Malgun Gothic" w:cs="Malgun Gothic" w:eastAsia="Malgun Gothic" w:hAnsi="Malgun Gothic"/>
        </w:rPr>
        <w:t xml:space="preserve">C</w:t>
      </w:r>
      <w:r>
        <w:rPr>
          <w:rFonts w:ascii="Malgun Gothic" w:cs="Malgun Gothic" w:eastAsia="Malgun Gothic" w:hAnsi="Malgun Gothic"/>
          <w:vertAlign w:val="subscript"/>
        </w:rPr>
        <w:t xml:space="preserve">i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Malgun Gothic" w:cs="Malgun Gothic" w:eastAsia="Malgun Gothic" w:hAnsi="Malgun Gothic"/>
        </w:rPr>
        <w:t xml:space="preserve">F</w:t>
      </w:r>
      <w:r>
        <w:rPr>
          <w:rFonts w:ascii="Malgun Gothic" w:cs="Malgun Gothic" w:eastAsia="Malgun Gothic" w:hAnsi="Malgun Gothic"/>
          <w:vertAlign w:val="subscript"/>
        </w:rPr>
        <w:t xml:space="preserve">i</w:t>
      </w:r>
      <w:r>
        <w:rPr>
          <w:rFonts w:ascii="Malgun Gothic" w:cs="Malgun Gothic" w:eastAsia="Malgun Gothic" w:hAnsi="Malgun Gothic"/>
        </w:rPr>
        <w:t xml:space="preserve"> (i: 시나리오),  결과가 여럿이면 </w:t>
      </w:r>
      <w:r>
        <w:rPr>
          <w:rFonts w:ascii="Malgun Gothic" w:cs="Malgun Gothic" w:eastAsia="Malgun Gothic" w:hAnsi="Malgun Gothic"/>
        </w:rPr>
        <w:t xml:space="preserve">R</w:t>
      </w:r>
      <w:r>
        <w:rPr>
          <w:rFonts w:ascii="Malgun Gothic" w:cs="Malgun Gothic" w:eastAsia="Malgun Gothic" w:hAnsi="Malgun Gothic"/>
          <w:vertAlign w:val="subscript"/>
        </w:rPr>
        <w:t xml:space="preserve">t</w:t>
      </w:r>
      <w:r>
        <w:rPr>
          <w:rFonts w:ascii="Malgun Gothic" w:cs="Malgun Gothic" w:eastAsia="Malgun Gothic" w:hAnsi="Malgun Gothic"/>
        </w:rPr>
        <w:t xml:space="preserve"> = Σ Σ </w:t>
      </w:r>
      <w:r>
        <w:rPr>
          <w:rFonts w:ascii="Malgun Gothic" w:cs="Malgun Gothic" w:eastAsia="Malgun Gothic" w:hAnsi="Malgun Gothic"/>
        </w:rPr>
        <w:t xml:space="preserve">C</w:t>
      </w:r>
      <w:r>
        <w:rPr>
          <w:rFonts w:ascii="Malgun Gothic" w:cs="Malgun Gothic" w:eastAsia="Malgun Gothic" w:hAnsi="Malgun Gothic"/>
          <w:vertAlign w:val="subscript"/>
        </w:rPr>
        <w:t xml:space="preserve">ij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Malgun Gothic" w:cs="Malgun Gothic" w:eastAsia="Malgun Gothic" w:hAnsi="Malgun Gothic"/>
        </w:rPr>
        <w:t xml:space="preserve">F</w:t>
      </w:r>
      <w:r>
        <w:rPr>
          <w:rFonts w:ascii="Malgun Gothic" w:cs="Malgun Gothic" w:eastAsia="Malgun Gothic" w:hAnsi="Malgun Gothic"/>
          <w:vertAlign w:val="subscript"/>
        </w:rPr>
        <w:t xml:space="preserve">i</w:t>
      </w:r>
      <w:r>
        <w:rPr>
          <w:rFonts w:ascii="Malgun Gothic" w:cs="Malgun Gothic" w:eastAsia="Malgun Gothic" w:hAnsi="Malgun Gothic"/>
        </w:rPr>
        <w:t xml:space="preserve"> (j: 결과 종류)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외벽 노출 빈도  </w:t>
      </w:r>
      <w:r>
        <w:rPr>
          <w:rFonts w:ascii="Malgun Gothic" w:cs="Malgun Gothic" w:eastAsia="Malgun Gothic" w:hAnsi="Malgun Gothic"/>
        </w:rPr>
        <w:t xml:space="preserve">F</w:t>
      </w:r>
      <w:r>
        <w:rPr>
          <w:rFonts w:ascii="Malgun Gothic" w:cs="Malgun Gothic" w:eastAsia="Malgun Gothic" w:hAnsi="Malgun Gothic"/>
          <w:vertAlign w:val="subscript"/>
        </w:rPr>
        <w:t xml:space="preserve">1</w:t>
      </w:r>
      <w:r>
        <w:rPr>
          <w:rFonts w:ascii="Malgun Gothic" w:cs="Malgun Gothic" w:eastAsia="Malgun Gothic" w:hAnsi="Malgun Gothic"/>
        </w:rPr>
        <w:t xml:space="preserve"> = </w:t>
      </w:r>
      <w:r>
        <w:rPr>
          <w:rFonts w:ascii="Malgun Gothic" w:cs="Malgun Gothic" w:eastAsia="Malgun Gothic" w:hAnsi="Malgun Gothic"/>
        </w:rPr>
        <w:t xml:space="preserve">λ</w:t>
      </w:r>
      <w:r>
        <w:rPr>
          <w:rFonts w:ascii="Malgun Gothic" w:cs="Malgun Gothic" w:eastAsia="Malgun Gothic" w:hAnsi="Malgun Gothic"/>
          <w:vertAlign w:val="subscript"/>
        </w:rPr>
        <w:t xml:space="preserve">1</w:t>
      </w:r>
      <w:r>
        <w:rPr>
          <w:rFonts w:ascii="Malgun Gothic" w:cs="Malgun Gothic" w:eastAsia="Malgun Gothic" w:hAnsi="Malgun Gothic"/>
        </w:rPr>
        <w:t xml:space="preserve"> · U · (1 −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s</w:t>
      </w:r>
      <w:r>
        <w:rPr>
          <w:rFonts w:ascii="Malgun Gothic" w:cs="Malgun Gothic" w:eastAsia="Malgun Gothic" w:hAnsi="Malgun Gothic"/>
        </w:rPr>
        <w:t xml:space="preserve">) ·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FO</w:t>
      </w:r>
      <w:r>
        <w:rPr>
          <w:rFonts w:ascii="Malgun Gothic" w:cs="Malgun Gothic" w:eastAsia="Malgun Gothic" w:hAnsi="Malgun Gothic"/>
        </w:rPr>
        <w:t xml:space="preserve"> ·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v</w:t>
      </w:r>
      <w:r>
        <w:rPr>
          <w:rFonts w:ascii="Malgun Gothic" w:cs="Malgun Gothic" w:eastAsia="Malgun Gothic" w:hAnsi="Malgun Gothic"/>
        </w:rPr>
        <w:t xml:space="preserve">,   </w:t>
      </w:r>
      <w:r>
        <w:rPr>
          <w:rFonts w:ascii="Malgun Gothic" w:cs="Malgun Gothic" w:eastAsia="Malgun Gothic" w:hAnsi="Malgun Gothic"/>
        </w:rPr>
        <w:t xml:space="preserve">F</w:t>
      </w:r>
      <w:r>
        <w:rPr>
          <w:rFonts w:ascii="Malgun Gothic" w:cs="Malgun Gothic" w:eastAsia="Malgun Gothic" w:hAnsi="Malgun Gothic"/>
          <w:vertAlign w:val="subscript"/>
        </w:rPr>
        <w:t xml:space="preserve">2</w:t>
      </w:r>
      <w:r>
        <w:rPr>
          <w:rFonts w:ascii="Malgun Gothic" w:cs="Malgun Gothic" w:eastAsia="Malgun Gothic" w:hAnsi="Malgun Gothic"/>
        </w:rPr>
        <w:t xml:space="preserve"> = </w:t>
      </w:r>
      <w:r>
        <w:rPr>
          <w:rFonts w:ascii="Malgun Gothic" w:cs="Malgun Gothic" w:eastAsia="Malgun Gothic" w:hAnsi="Malgun Gothic"/>
        </w:rPr>
        <w:t xml:space="preserve">λ</w:t>
      </w:r>
      <w:r>
        <w:rPr>
          <w:rFonts w:ascii="Malgun Gothic" w:cs="Malgun Gothic" w:eastAsia="Malgun Gothic" w:hAnsi="Malgun Gothic"/>
          <w:vertAlign w:val="subscript"/>
        </w:rPr>
        <w:t xml:space="preserve">2</w:t>
      </w:r>
      <w:r>
        <w:rPr>
          <w:rFonts w:ascii="Malgun Gothic" w:cs="Malgun Gothic" w:eastAsia="Malgun Gothic" w:hAnsi="Malgun Gothic"/>
        </w:rPr>
        <w:t xml:space="preserve"> ·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x</w:t>
      </w:r>
      <w:r>
        <w:rPr>
          <w:rFonts w:ascii="Malgun Gothic" w:cs="Malgun Gothic" w:eastAsia="Malgun Gothic" w:hAnsi="Malgun Gothic"/>
        </w:rPr>
        <w:t xml:space="preserve">   (U: 세대 수, 스프링클러가 없으면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s</w:t>
      </w:r>
      <w:r>
        <w:rPr>
          <w:rFonts w:ascii="Malgun Gothic" w:cs="Malgun Gothic" w:eastAsia="Malgun Gothic" w:hAnsi="Malgun Gothic"/>
        </w:rPr>
        <w:t xml:space="preserve"> = 0)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층당 확산시간  </w:t>
      </w:r>
      <w:r>
        <w:rPr>
          <w:rFonts w:ascii="Malgun Gothic" w:cs="Malgun Gothic" w:eastAsia="Malgun Gothic" w:hAnsi="Malgun Gothic"/>
        </w:rPr>
        <w:t xml:space="preserve">τ</w:t>
      </w:r>
      <w:r>
        <w:rPr>
          <w:rFonts w:ascii="Malgun Gothic" w:cs="Malgun Gothic" w:eastAsia="Malgun Gothic" w:hAnsi="Malgun Gothic"/>
          <w:vertAlign w:val="subscript"/>
        </w:rPr>
        <w:t xml:space="preserve">F</w:t>
      </w:r>
      <w:r>
        <w:rPr>
          <w:rFonts w:ascii="Malgun Gothic" w:cs="Malgun Gothic" w:eastAsia="Malgun Gothic" w:hAnsi="Malgun Gothic"/>
        </w:rPr>
        <w:t xml:space="preserve"> = s · 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600</w:t>
      </w:r>
      <w:r>
        <w:rPr>
          <w:rFonts w:ascii="Malgun Gothic" w:cs="Malgun Gothic" w:eastAsia="Malgun Gothic" w:hAnsi="Malgun Gothic"/>
        </w:rPr>
        <w:t xml:space="preserve"> · h / 3 m   (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600</w:t>
      </w:r>
      <w:r>
        <w:rPr>
          <w:rFonts w:ascii="Malgun Gothic" w:cs="Malgun Gothic" w:eastAsia="Malgun Gothic" w:hAnsi="Malgun Gothic"/>
        </w:rPr>
        <w:t xml:space="preserve">: 3000 mm에서 ΔT ≥ 600 K 시작 시각, 600 K 미도달이면 </w:t>
      </w:r>
      <w:r>
        <w:rPr>
          <w:rFonts w:ascii="Malgun Gothic" w:cs="Malgun Gothic" w:eastAsia="Malgun Gothic" w:hAnsi="Malgun Gothic"/>
        </w:rPr>
        <w:t xml:space="preserve">τ</w:t>
      </w:r>
      <w:r>
        <w:rPr>
          <w:rFonts w:ascii="Malgun Gothic" w:cs="Malgun Gothic" w:eastAsia="Malgun Gothic" w:hAnsi="Malgun Gothic"/>
          <w:vertAlign w:val="subscript"/>
        </w:rPr>
        <w:t xml:space="preserve">F</w:t>
      </w:r>
      <w:r>
        <w:rPr>
          <w:rFonts w:ascii="Malgun Gothic" w:cs="Malgun Gothic" w:eastAsia="Malgun Gothic" w:hAnsi="Malgun Gothic"/>
        </w:rPr>
        <w:t xml:space="preserve"> = ∞)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중공층 경로의 층 수  </w:t>
      </w:r>
      <w:r>
        <w:rPr>
          <w:rFonts w:ascii="Malgun Gothic" w:cs="Malgun Gothic" w:eastAsia="Malgun Gothic" w:hAnsi="Malgun Gothic"/>
        </w:rPr>
        <w:t xml:space="preserve">n</w:t>
      </w:r>
      <w:r>
        <w:rPr>
          <w:rFonts w:ascii="Malgun Gothic" w:cs="Malgun Gothic" w:eastAsia="Malgun Gothic" w:hAnsi="Malgun Gothic"/>
          <w:vertAlign w:val="subscript"/>
        </w:rPr>
        <w:t xml:space="preserve">F</w:t>
      </w:r>
      <w:r>
        <w:rPr>
          <w:rFonts w:ascii="Malgun Gothic" w:cs="Malgun Gothic" w:eastAsia="Malgun Gothic" w:hAnsi="Malgun Gothic"/>
        </w:rPr>
        <w:t xml:space="preserve"> = 내림[ min(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FS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stop</w:t>
      </w:r>
      <w:r>
        <w:rPr>
          <w:rFonts w:ascii="Malgun Gothic" w:cs="Malgun Gothic" w:eastAsia="Malgun Gothic" w:hAnsi="Malgun Gothic"/>
        </w:rPr>
        <w:t xml:space="preserve">) ÷ </w:t>
      </w:r>
      <w:r>
        <w:rPr>
          <w:rFonts w:ascii="Malgun Gothic" w:cs="Malgun Gothic" w:eastAsia="Malgun Gothic" w:hAnsi="Malgun Gothic"/>
        </w:rPr>
        <w:t xml:space="preserve">τ</w:t>
      </w:r>
      <w:r>
        <w:rPr>
          <w:rFonts w:ascii="Malgun Gothic" w:cs="Malgun Gothic" w:eastAsia="Malgun Gothic" w:hAnsi="Malgun Gothic"/>
          <w:vertAlign w:val="subscript"/>
        </w:rPr>
        <w:t xml:space="preserve">F</w:t>
      </w:r>
      <w:r>
        <w:rPr>
          <w:rFonts w:ascii="Malgun Gothic" w:cs="Malgun Gothic" w:eastAsia="Malgun Gothic" w:hAnsi="Malgun Gothic"/>
        </w:rPr>
        <w:t xml:space="preserve"> ],  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stop</w:t>
      </w:r>
      <w:r>
        <w:rPr>
          <w:rFonts w:ascii="Malgun Gothic" w:cs="Malgun Gothic" w:eastAsia="Malgun Gothic" w:hAnsi="Malgun Gothic"/>
        </w:rPr>
        <w:t xml:space="preserve"> = 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e</w:t>
      </w:r>
      <w:r>
        <w:rPr>
          <w:rFonts w:ascii="Malgun Gothic" w:cs="Malgun Gothic" w:eastAsia="Malgun Gothic" w:hAnsi="Malgun Gothic"/>
        </w:rPr>
        <w:t xml:space="preserve"> (비자립) 또는 ∞ (자립, 확률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B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배리어 · 도약  </w:t>
      </w:r>
      <w:r>
        <w:rPr>
          <w:rFonts w:ascii="Malgun Gothic" w:cs="Malgun Gothic" w:eastAsia="Malgun Gothic" w:hAnsi="Malgun Gothic"/>
        </w:rPr>
        <w:t xml:space="preserve">a</w:t>
      </w:r>
      <w:r>
        <w:rPr>
          <w:rFonts w:ascii="Malgun Gothic" w:cs="Malgun Gothic" w:eastAsia="Malgun Gothic" w:hAnsi="Malgun Gothic"/>
          <w:vertAlign w:val="subscript"/>
        </w:rPr>
        <w:t xml:space="preserve">j</w:t>
      </w:r>
      <w:r>
        <w:rPr>
          <w:rFonts w:ascii="Malgun Gothic" w:cs="Malgun Gothic" w:eastAsia="Malgun Gothic" w:hAnsi="Malgun Gothic"/>
        </w:rPr>
        <w:t xml:space="preserve"> = (1 −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cb</w:t>
      </w:r>
      <w:r>
        <w:rPr>
          <w:rFonts w:ascii="Malgun Gothic" w:cs="Malgun Gothic" w:eastAsia="Malgun Gothic" w:hAnsi="Malgun Gothic"/>
        </w:rPr>
        <w:t xml:space="preserve">)</w:t>
      </w:r>
      <w:r>
        <w:rPr>
          <w:rFonts w:ascii="Malgun Gothic" w:cs="Malgun Gothic" w:eastAsia="Malgun Gothic" w:hAnsi="Malgun Gothic"/>
          <w:vertAlign w:val="superscript"/>
        </w:rPr>
        <w:t xml:space="preserve">j</w:t>
      </w:r>
      <w:r>
        <w:rPr>
          <w:rFonts w:ascii="Malgun Gothic" w:cs="Malgun Gothic" w:eastAsia="Malgun Gothic" w:hAnsi="Malgun Gothic"/>
        </w:rPr>
        <w:t xml:space="preserve"> (j ≤ </w:t>
      </w:r>
      <w:r>
        <w:rPr>
          <w:rFonts w:ascii="Malgun Gothic" w:cs="Malgun Gothic" w:eastAsia="Malgun Gothic" w:hAnsi="Malgun Gothic"/>
        </w:rPr>
        <w:t xml:space="preserve">n</w:t>
      </w:r>
      <w:r>
        <w:rPr>
          <w:rFonts w:ascii="Malgun Gothic" w:cs="Malgun Gothic" w:eastAsia="Malgun Gothic" w:hAnsi="Malgun Gothic"/>
          <w:vertAlign w:val="subscript"/>
        </w:rPr>
        <w:t xml:space="preserve">F</w:t>
      </w:r>
      <w:r>
        <w:rPr>
          <w:rFonts w:ascii="Malgun Gothic" w:cs="Malgun Gothic" w:eastAsia="Malgun Gothic" w:hAnsi="Malgun Gothic"/>
        </w:rPr>
        <w:t xml:space="preserve">),  </w:t>
      </w:r>
      <w:r>
        <w:rPr>
          <w:rFonts w:ascii="Malgun Gothic" w:cs="Malgun Gothic" w:eastAsia="Malgun Gothic" w:hAnsi="Malgun Gothic"/>
        </w:rPr>
        <w:t xml:space="preserve">b</w:t>
      </w:r>
      <w:r>
        <w:rPr>
          <w:rFonts w:ascii="Malgun Gothic" w:cs="Malgun Gothic" w:eastAsia="Malgun Gothic" w:hAnsi="Malgun Gothic"/>
          <w:vertAlign w:val="subscript"/>
        </w:rPr>
        <w:t xml:space="preserve">j</w:t>
      </w:r>
      <w:r>
        <w:rPr>
          <w:rFonts w:ascii="Malgun Gothic" w:cs="Malgun Gothic" w:eastAsia="Malgun Gothic" w:hAnsi="Malgun Gothic"/>
        </w:rPr>
        <w:t xml:space="preserve"> =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L</w:t>
      </w:r>
      <w:r>
        <w:rPr>
          <w:rFonts w:ascii="Malgun Gothic" w:cs="Malgun Gothic" w:eastAsia="Malgun Gothic" w:hAnsi="Malgun Gothic"/>
          <w:vertAlign w:val="superscript"/>
        </w:rPr>
        <w:t xml:space="preserve">j</w:t>
      </w:r>
      <w:r>
        <w:rPr>
          <w:rFonts w:ascii="Malgun Gothic" w:cs="Malgun Gothic" w:eastAsia="Malgun Gothic" w:hAnsi="Malgun Gothic"/>
        </w:rPr>
        <w:t xml:space="preserve"> (j ≤ </w:t>
      </w:r>
      <w:r>
        <w:rPr>
          <w:rFonts w:ascii="Malgun Gothic" w:cs="Malgun Gothic" w:eastAsia="Malgun Gothic" w:hAnsi="Malgun Gothic"/>
        </w:rPr>
        <w:t xml:space="preserve">n</w:t>
      </w:r>
      <w:r>
        <w:rPr>
          <w:rFonts w:ascii="Malgun Gothic" w:cs="Malgun Gothic" w:eastAsia="Malgun Gothic" w:hAnsi="Malgun Gothic"/>
          <w:vertAlign w:val="subscript"/>
        </w:rPr>
        <w:t xml:space="preserve">L</w:t>
      </w:r>
      <w:r>
        <w:rPr>
          <w:rFonts w:ascii="Malgun Gothic" w:cs="Malgun Gothic" w:eastAsia="Malgun Gothic" w:hAnsi="Malgun Gothic"/>
        </w:rPr>
        <w:t xml:space="preserve">),  </w:t>
      </w:r>
      <w:r>
        <w:rPr>
          <w:rFonts w:ascii="Malgun Gothic" w:cs="Malgun Gothic" w:eastAsia="Malgun Gothic" w:hAnsi="Malgun Gothic"/>
        </w:rPr>
        <w:t xml:space="preserve">n</w:t>
      </w:r>
      <w:r>
        <w:rPr>
          <w:rFonts w:ascii="Malgun Gothic" w:cs="Malgun Gothic" w:eastAsia="Malgun Gothic" w:hAnsi="Malgun Gothic"/>
          <w:vertAlign w:val="subscript"/>
        </w:rPr>
        <w:t xml:space="preserve">L</w:t>
      </w:r>
      <w:r>
        <w:rPr>
          <w:rFonts w:ascii="Malgun Gothic" w:cs="Malgun Gothic" w:eastAsia="Malgun Gothic" w:hAnsi="Malgun Gothic"/>
        </w:rPr>
        <w:t xml:space="preserve"> = 내림[</w:t>
      </w:r>
      <w:r>
        <w:rPr>
          <w:rFonts w:ascii="Malgun Gothic" w:cs="Malgun Gothic" w:eastAsia="Malgun Gothic" w:hAnsi="Malgun Gothic"/>
        </w:rPr>
        <w:t xml:space="preserve">T</w:t>
      </w:r>
      <w:r>
        <w:rPr>
          <w:rFonts w:ascii="Malgun Gothic" w:cs="Malgun Gothic" w:eastAsia="Malgun Gothic" w:hAnsi="Malgun Gothic"/>
          <w:vertAlign w:val="subscript"/>
        </w:rPr>
        <w:t xml:space="preserve">FS</w:t>
      </w:r>
      <w:r>
        <w:rPr>
          <w:rFonts w:ascii="Malgun Gothic" w:cs="Malgun Gothic" w:eastAsia="Malgun Gothic" w:hAnsi="Malgun Gothic"/>
        </w:rPr>
        <w:t xml:space="preserve"> ÷ </w:t>
      </w:r>
      <w:r>
        <w:rPr>
          <w:rFonts w:ascii="Malgun Gothic" w:cs="Malgun Gothic" w:eastAsia="Malgun Gothic" w:hAnsi="Malgun Gothic"/>
        </w:rPr>
        <w:t xml:space="preserve">τ</w:t>
      </w:r>
      <w:r>
        <w:rPr>
          <w:rFonts w:ascii="Malgun Gothic" w:cs="Malgun Gothic" w:eastAsia="Malgun Gothic" w:hAnsi="Malgun Gothic"/>
          <w:vertAlign w:val="subscript"/>
        </w:rPr>
        <w:t xml:space="preserve">L</w:t>
      </w:r>
      <w:r>
        <w:rPr>
          <w:rFonts w:ascii="Malgun Gothic" w:cs="Malgun Gothic" w:eastAsia="Malgun Gothic" w:hAnsi="Malgun Gothic"/>
        </w:rPr>
        <w:t xml:space="preserve">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확산 확률  </w:t>
      </w:r>
      <w:r>
        <w:rPr>
          <w:rFonts w:ascii="Malgun Gothic" w:cs="Malgun Gothic" w:eastAsia="Malgun Gothic" w:hAnsi="Malgun Gothic"/>
        </w:rPr>
        <w:t xml:space="preserve">P(n ≥ j) = </w:t>
      </w:r>
      <w:r>
        <w:rPr>
          <w:rFonts w:ascii="Malgun Gothic" w:cs="Malgun Gothic" w:eastAsia="Malgun Gothic" w:hAnsi="Malgun Gothic"/>
        </w:rPr>
        <w:t xml:space="preserve">w</w:t>
      </w:r>
      <w:r>
        <w:rPr>
          <w:rFonts w:ascii="Malgun Gothic" w:cs="Malgun Gothic" w:eastAsia="Malgun Gothic" w:hAnsi="Malgun Gothic"/>
          <w:vertAlign w:val="subscript"/>
        </w:rPr>
        <w:t xml:space="preserve">j</w:t>
      </w:r>
      <w:r>
        <w:rPr>
          <w:rFonts w:ascii="Malgun Gothic" w:cs="Malgun Gothic" w:eastAsia="Malgun Gothic" w:hAnsi="Malgun Gothic"/>
        </w:rPr>
        <w:t xml:space="preserve"> [1 − (1 − </w:t>
      </w:r>
      <w:r>
        <w:rPr>
          <w:rFonts w:ascii="Malgun Gothic" w:cs="Malgun Gothic" w:eastAsia="Malgun Gothic" w:hAnsi="Malgun Gothic"/>
        </w:rPr>
        <w:t xml:space="preserve">a</w:t>
      </w:r>
      <w:r>
        <w:rPr>
          <w:rFonts w:ascii="Malgun Gothic" w:cs="Malgun Gothic" w:eastAsia="Malgun Gothic" w:hAnsi="Malgun Gothic"/>
          <w:vertAlign w:val="subscript"/>
        </w:rPr>
        <w:t xml:space="preserve">j</w:t>
      </w:r>
      <w:r>
        <w:rPr>
          <w:rFonts w:ascii="Malgun Gothic" w:cs="Malgun Gothic" w:eastAsia="Malgun Gothic" w:hAnsi="Malgun Gothic"/>
        </w:rPr>
        <w:t xml:space="preserve">)(1 − </w:t>
      </w:r>
      <w:r>
        <w:rPr>
          <w:rFonts w:ascii="Malgun Gothic" w:cs="Malgun Gothic" w:eastAsia="Malgun Gothic" w:hAnsi="Malgun Gothic"/>
        </w:rPr>
        <w:t xml:space="preserve">b</w:t>
      </w:r>
      <w:r>
        <w:rPr>
          <w:rFonts w:ascii="Malgun Gothic" w:cs="Malgun Gothic" w:eastAsia="Malgun Gothic" w:hAnsi="Malgun Gothic"/>
          <w:vertAlign w:val="subscript"/>
        </w:rPr>
        <w:t xml:space="preserve">j</w:t>
      </w:r>
      <w:r>
        <w:rPr>
          <w:rFonts w:ascii="Malgun Gothic" w:cs="Malgun Gothic" w:eastAsia="Malgun Gothic" w:hAnsi="Malgun Gothic"/>
        </w:rPr>
        <w:t xml:space="preserve">)],  </w:t>
      </w:r>
      <w:r>
        <w:rPr>
          <w:rFonts w:ascii="Malgun Gothic" w:cs="Malgun Gothic" w:eastAsia="Malgun Gothic" w:hAnsi="Malgun Gothic"/>
        </w:rPr>
        <w:t xml:space="preserve">w</w:t>
      </w:r>
      <w:r>
        <w:rPr>
          <w:rFonts w:ascii="Malgun Gothic" w:cs="Malgun Gothic" w:eastAsia="Malgun Gothic" w:hAnsi="Malgun Gothic"/>
          <w:vertAlign w:val="subscript"/>
        </w:rPr>
        <w:t xml:space="preserve">j</w:t>
      </w:r>
      <w:r>
        <w:rPr>
          <w:rFonts w:ascii="Malgun Gothic" w:cs="Malgun Gothic" w:eastAsia="Malgun Gothic" w:hAnsi="Malgun Gothic"/>
        </w:rPr>
        <w:t xml:space="preserve"> = (N − j)/N (IE1, 발화층 균등) 또는 1 (IE2)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노출 인원  </w:t>
      </w:r>
      <w:r>
        <w:rPr>
          <w:rFonts w:ascii="Malgun Gothic" w:cs="Malgun Gothic" w:eastAsia="Malgun Gothic" w:hAnsi="Malgun Gothic"/>
        </w:rPr>
        <w:t xml:space="preserve">층 j에 먼저 닿은 경로의 도달시각(j </w:t>
      </w:r>
      <w:r>
        <w:rPr>
          <w:rFonts w:ascii="Malgun Gothic" w:cs="Malgun Gothic" w:eastAsia="Malgun Gothic" w:hAnsi="Malgun Gothic"/>
        </w:rPr>
        <w:t xml:space="preserve">τ</w:t>
      </w:r>
      <w:r>
        <w:rPr>
          <w:rFonts w:ascii="Malgun Gothic" w:cs="Malgun Gothic" w:eastAsia="Malgun Gothic" w:hAnsi="Malgun Gothic"/>
          <w:vertAlign w:val="subscript"/>
        </w:rPr>
        <w:t xml:space="preserve">F</w:t>
      </w:r>
      <w:r>
        <w:rPr>
          <w:rFonts w:ascii="Malgun Gothic" w:cs="Malgun Gothic" w:eastAsia="Malgun Gothic" w:hAnsi="Malgun Gothic"/>
        </w:rPr>
        <w:t xml:space="preserve"> 또는 j </w:t>
      </w:r>
      <w:r>
        <w:rPr>
          <w:rFonts w:ascii="Malgun Gothic" w:cs="Malgun Gothic" w:eastAsia="Malgun Gothic" w:hAnsi="Malgun Gothic"/>
        </w:rPr>
        <w:t xml:space="preserve">τ</w:t>
      </w:r>
      <w:r>
        <w:rPr>
          <w:rFonts w:ascii="Malgun Gothic" w:cs="Malgun Gothic" w:eastAsia="Malgun Gothic" w:hAnsi="Malgun Gothic"/>
          <w:vertAlign w:val="subscript"/>
        </w:rPr>
        <w:t xml:space="preserve">L</w:t>
      </w:r>
      <w:r>
        <w:rPr>
          <w:rFonts w:ascii="Malgun Gothic" w:cs="Malgun Gothic" w:eastAsia="Malgun Gothic" w:hAnsi="Malgun Gothic"/>
        </w:rPr>
        <w:t xml:space="preserve">) &lt; RSET이면 </w:t>
      </w:r>
      <w:r>
        <w:rPr>
          <w:rFonts w:ascii="Malgun Gothic" w:cs="Malgun Gothic" w:eastAsia="Malgun Gothic" w:hAnsi="Malgun Gothic"/>
        </w:rPr>
        <w:t xml:space="preserve">n</w:t>
      </w:r>
      <w:r>
        <w:rPr>
          <w:rFonts w:ascii="Malgun Gothic" w:cs="Malgun Gothic" w:eastAsia="Malgun Gothic" w:hAnsi="Malgun Gothic"/>
          <w:vertAlign w:val="subscript"/>
        </w:rPr>
        <w:t xml:space="preserve">a</w:t>
      </w:r>
      <w:r>
        <w:rPr>
          <w:rFonts w:ascii="Malgun Gothic" w:cs="Malgun Gothic" w:eastAsia="Malgun Gothic" w:hAnsi="Malgun Gothic"/>
        </w:rPr>
        <w:t xml:space="preserve"> × 세대당 재실자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위험도 (외벽)  </w:t>
      </w:r>
      <w:r>
        <w:rPr>
          <w:rFonts w:ascii="Malgun Gothic" w:cs="Malgun Gothic" w:eastAsia="Malgun Gothic" w:hAnsi="Malgun Gothic"/>
        </w:rPr>
        <w:t xml:space="preserve">R</w:t>
      </w:r>
      <w:r>
        <w:rPr>
          <w:rFonts w:ascii="Malgun Gothic" w:cs="Malgun Gothic" w:eastAsia="Malgun Gothic" w:hAnsi="Malgun Gothic"/>
          <w:vertAlign w:val="subscript"/>
        </w:rPr>
        <w:t xml:space="preserve">S</w:t>
      </w:r>
      <w:r>
        <w:rPr>
          <w:rFonts w:ascii="Malgun Gothic" w:cs="Malgun Gothic" w:eastAsia="Malgun Gothic" w:hAnsi="Malgun Gothic"/>
        </w:rPr>
        <w:t xml:space="preserve"> = </w:t>
      </w:r>
      <w:r>
        <w:rPr>
          <w:rFonts w:ascii="Malgun Gothic" w:cs="Malgun Gothic" w:eastAsia="Malgun Gothic" w:hAnsi="Malgun Gothic"/>
        </w:rPr>
        <w:t xml:space="preserve">F</w:t>
      </w:r>
      <w:r>
        <w:rPr>
          <w:rFonts w:ascii="Malgun Gothic" w:cs="Malgun Gothic" w:eastAsia="Malgun Gothic" w:hAnsi="Malgun Gothic"/>
          <w:vertAlign w:val="subscript"/>
        </w:rPr>
        <w:t xml:space="preserve">1</w:t>
      </w:r>
      <w:r>
        <w:rPr>
          <w:rFonts w:ascii="Malgun Gothic" w:cs="Malgun Gothic" w:eastAsia="Malgun Gothic" w:hAnsi="Malgun Gothic"/>
        </w:rPr>
        <w:t xml:space="preserve"> [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e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Malgun Gothic" w:cs="Malgun Gothic" w:eastAsia="Malgun Gothic" w:hAnsi="Malgun Gothic"/>
        </w:rPr>
        <w:t xml:space="preserve">C</w:t>
      </w:r>
      <w:r>
        <w:rPr>
          <w:rFonts w:ascii="Malgun Gothic" w:cs="Malgun Gothic" w:eastAsia="Malgun Gothic" w:hAnsi="Malgun Gothic"/>
          <w:vertAlign w:val="subscript"/>
        </w:rPr>
        <w:t xml:space="preserve">1</w:t>
      </w:r>
      <w:r>
        <w:rPr>
          <w:rFonts w:ascii="Malgun Gothic" w:cs="Malgun Gothic" w:eastAsia="Malgun Gothic" w:hAnsi="Malgun Gothic"/>
        </w:rPr>
        <w:t xml:space="preserve"> + (1 −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e</w:t>
      </w:r>
      <w:r>
        <w:rPr>
          <w:rFonts w:ascii="Malgun Gothic" w:cs="Malgun Gothic" w:eastAsia="Malgun Gothic" w:hAnsi="Malgun Gothic"/>
        </w:rPr>
        <w:t xml:space="preserve">) </w:t>
      </w:r>
      <w:r>
        <w:rPr>
          <w:rFonts w:ascii="Malgun Gothic" w:cs="Malgun Gothic" w:eastAsia="Malgun Gothic" w:hAnsi="Malgun Gothic"/>
        </w:rPr>
        <w:t xml:space="preserve">C</w:t>
      </w:r>
      <w:r>
        <w:rPr>
          <w:rFonts w:ascii="Malgun Gothic" w:cs="Malgun Gothic" w:eastAsia="Malgun Gothic" w:hAnsi="Malgun Gothic"/>
          <w:vertAlign w:val="subscript"/>
        </w:rPr>
        <w:t xml:space="preserve">L</w:t>
      </w:r>
      <w:r>
        <w:rPr>
          <w:rFonts w:ascii="Malgun Gothic" w:cs="Malgun Gothic" w:eastAsia="Malgun Gothic" w:hAnsi="Malgun Gothic"/>
        </w:rPr>
        <w:t xml:space="preserve">] + </w:t>
      </w:r>
      <w:r>
        <w:rPr>
          <w:rFonts w:ascii="Malgun Gothic" w:cs="Malgun Gothic" w:eastAsia="Malgun Gothic" w:hAnsi="Malgun Gothic"/>
        </w:rPr>
        <w:t xml:space="preserve">F</w:t>
      </w:r>
      <w:r>
        <w:rPr>
          <w:rFonts w:ascii="Malgun Gothic" w:cs="Malgun Gothic" w:eastAsia="Malgun Gothic" w:hAnsi="Malgun Gothic"/>
          <w:vertAlign w:val="subscript"/>
        </w:rPr>
        <w:t xml:space="preserve">2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e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Malgun Gothic" w:cs="Malgun Gothic" w:eastAsia="Malgun Gothic" w:hAnsi="Malgun Gothic"/>
        </w:rPr>
        <w:t xml:space="preserve">C</w:t>
      </w:r>
      <w:r>
        <w:rPr>
          <w:rFonts w:ascii="Malgun Gothic" w:cs="Malgun Gothic" w:eastAsia="Malgun Gothic" w:hAnsi="Malgun Gothic"/>
          <w:vertAlign w:val="subscript"/>
        </w:rPr>
        <w:t xml:space="preserve">2</w:t>
      </w:r>
      <w:r>
        <w:rPr>
          <w:rFonts w:ascii="Malgun Gothic" w:cs="Malgun Gothic" w:eastAsia="Malgun Gothic" w:hAnsi="Malgun Gothic"/>
        </w:rPr>
        <w:t xml:space="preserve">  (</w:t>
      </w:r>
      <w:r>
        <w:rPr>
          <w:rFonts w:ascii="Malgun Gothic" w:cs="Malgun Gothic" w:eastAsia="Malgun Gothic" w:hAnsi="Malgun Gothic"/>
        </w:rPr>
        <w:t xml:space="preserve">C</w:t>
      </w:r>
      <w:r>
        <w:rPr>
          <w:rFonts w:ascii="Malgun Gothic" w:cs="Malgun Gothic" w:eastAsia="Malgun Gothic" w:hAnsi="Malgun Gothic"/>
          <w:vertAlign w:val="subscript"/>
        </w:rPr>
        <w:t xml:space="preserve">1</w:t>
      </w:r>
      <w:r>
        <w:rPr>
          <w:rFonts w:ascii="Malgun Gothic" w:cs="Malgun Gothic" w:eastAsia="Malgun Gothic" w:hAnsi="Malgun Gothic"/>
        </w:rPr>
        <w:t xml:space="preserve">: IE1 외벽 + 도약, </w:t>
      </w:r>
      <w:r>
        <w:rPr>
          <w:rFonts w:ascii="Malgun Gothic" w:cs="Malgun Gothic" w:eastAsia="Malgun Gothic" w:hAnsi="Malgun Gothic"/>
        </w:rPr>
        <w:t xml:space="preserve">C</w:t>
      </w:r>
      <w:r>
        <w:rPr>
          <w:rFonts w:ascii="Malgun Gothic" w:cs="Malgun Gothic" w:eastAsia="Malgun Gothic" w:hAnsi="Malgun Gothic"/>
          <w:vertAlign w:val="subscript"/>
        </w:rPr>
        <w:t xml:space="preserve">L</w:t>
      </w:r>
      <w:r>
        <w:rPr>
          <w:rFonts w:ascii="Malgun Gothic" w:cs="Malgun Gothic" w:eastAsia="Malgun Gothic" w:hAnsi="Malgun Gothic"/>
        </w:rPr>
        <w:t xml:space="preserve">: 도약만, </w:t>
      </w:r>
      <w:r>
        <w:rPr>
          <w:rFonts w:ascii="Malgun Gothic" w:cs="Malgun Gothic" w:eastAsia="Malgun Gothic" w:hAnsi="Malgun Gothic"/>
        </w:rPr>
        <w:t xml:space="preserve">C</w:t>
      </w:r>
      <w:r>
        <w:rPr>
          <w:rFonts w:ascii="Malgun Gothic" w:cs="Malgun Gothic" w:eastAsia="Malgun Gothic" w:hAnsi="Malgun Gothic"/>
          <w:vertAlign w:val="subscript"/>
        </w:rPr>
        <w:t xml:space="preserve">2</w:t>
      </w:r>
      <w:r>
        <w:rPr>
          <w:rFonts w:ascii="Malgun Gothic" w:cs="Malgun Gothic" w:eastAsia="Malgun Gothic" w:hAnsi="Malgun Gothic"/>
        </w:rPr>
        <w:t xml:space="preserve">: IE2 외벽), </w:t>
      </w:r>
      <w:r>
        <w:rPr>
          <w:rFonts w:ascii="Malgun Gothic" w:cs="Malgun Gothic" w:eastAsia="Malgun Gothic" w:hAnsi="Malgun Gothic"/>
        </w:rPr>
        <w:t xml:space="preserve">R</w:t>
      </w:r>
      <w:r>
        <w:rPr>
          <w:rFonts w:ascii="Malgun Gothic" w:cs="Malgun Gothic" w:eastAsia="Malgun Gothic" w:hAnsi="Malgun Gothic"/>
          <w:vertAlign w:val="subscript"/>
        </w:rPr>
        <w:t xml:space="preserve">P</w:t>
      </w:r>
      <w:r>
        <w:rPr>
          <w:rFonts w:ascii="Malgun Gothic" w:cs="Malgun Gothic" w:eastAsia="Malgun Gothic" w:hAnsi="Malgun Gothic"/>
        </w:rPr>
        <w:t xml:space="preserve">·F(n)도 같은 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자립 연소 확률 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B</w:t>
      </w:r>
      <w:r>
        <w:rPr>
          <w:rFonts w:ascii="Malgun Gothic" w:cs="Malgun Gothic" w:eastAsia="Malgun Gothic" w:hAnsi="Malgun Gothic"/>
        </w:rPr>
        <w:t xml:space="preserve"> = (k + ½)/(n + 1)  (k: 플래그 B 시험 수, n: 반복시험 수), 불확실성은 Beta(k + ½, n − k + ½)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개인위험도  </w:t>
      </w:r>
      <w:r>
        <w:rPr>
          <w:rFonts w:ascii="Malgun Gothic" w:cs="Malgun Gothic" w:eastAsia="Malgun Gothic" w:hAnsi="Malgun Gothic"/>
        </w:rPr>
        <w:t xml:space="preserve">IR = </w:t>
      </w:r>
      <w:r>
        <w:rPr>
          <w:rFonts w:ascii="Malgun Gothic" w:cs="Malgun Gothic" w:eastAsia="Malgun Gothic" w:hAnsi="Malgun Gothic"/>
        </w:rPr>
        <w:t xml:space="preserve">p</w:t>
      </w:r>
      <w:r>
        <w:rPr>
          <w:rFonts w:ascii="Malgun Gothic" w:cs="Malgun Gothic" w:eastAsia="Malgun Gothic" w:hAnsi="Malgun Gothic"/>
          <w:vertAlign w:val="subscript"/>
        </w:rPr>
        <w:t xml:space="preserve">d</w:t>
      </w:r>
      <w:r>
        <w:rPr>
          <w:rFonts w:ascii="Malgun Gothic" w:cs="Malgun Gothic" w:eastAsia="Malgun Gothic" w:hAnsi="Malgun Gothic"/>
        </w:rPr>
        <w:t xml:space="preserve"> · </w:t>
      </w:r>
      <w:r>
        <w:rPr>
          <w:rFonts w:ascii="Malgun Gothic" w:cs="Malgun Gothic" w:eastAsia="Malgun Gothic" w:hAnsi="Malgun Gothic"/>
        </w:rPr>
        <w:t xml:space="preserve">R</w:t>
      </w:r>
      <w:r>
        <w:rPr>
          <w:rFonts w:ascii="Malgun Gothic" w:cs="Malgun Gothic" w:eastAsia="Malgun Gothic" w:hAnsi="Malgun Gothic"/>
          <w:vertAlign w:val="subscript"/>
        </w:rPr>
        <w:t xml:space="preserve">P</w:t>
      </w:r>
      <w:r>
        <w:rPr>
          <w:rFonts w:ascii="Malgun Gothic" w:cs="Malgun Gothic" w:eastAsia="Malgun Gothic" w:hAnsi="Malgun Gothic"/>
        </w:rPr>
        <w:t xml:space="preserve"> ÷ 건물 재실자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부록 B. 입력값과 대체할 자료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891"/>
        <w:gridCol w:w="964"/>
        <w:gridCol w:w="1446"/>
        <w:gridCol w:w="3566"/>
      </w:tblGrid>
      <w:tr>
        <w:trPr>
          <w:tblHeader/>
        </w:trP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기호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3303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 · 대체할 자료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층수 (층)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고정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예제 건물(15층 공동주택). 평가 대상 건물 값으로 바꿈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u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층당 세대 수 (세대)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고정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예제 건물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세대당 재실자 (명)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2.5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고정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예제 건물(주거). 야간·주간 재실 분포로 바꿀 수 있음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a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확산 띠 안의 층당 세대 수 (세대)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고정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외벽 화재가 위로 번질 때 한 층에서 닿는 세대(발화 세대 열 + 이웃 1열)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λ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1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세대 화재 발생빈도 (/세대·년)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2.0×10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1.0×10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– 4.0×10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예시값. 국가화재정보시스템(NFDS) 공동주택 화재 건수 ÷ 세대 수(주택총조사)로 대체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λ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2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외부 발화원 화재빈도(외벽 하부) (/동·년)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2.0×10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5.0×10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– 8.0×10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예시값(자료 부족). 필로티·주차 차량, 쓰레기, 외부 설비 화재 통계로 대체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s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스프링클러 작동·제어 확률 (–)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 – 0.97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예시값. 국내 스프링클러 작동·효과 통계로 대체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FO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제어 실패 화재의 최성기 도달 확률 (–)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0.15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0.05 – 0.3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예시값. NFDS 연소 확대 범위(발화실 밖 확대) 비율로 대체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v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최성기 화재의 창 분출화염 확률 (–)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 – 0.9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예시값. 창호 형식(복층유리·방화유리) 반영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x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외부 화원의 외벽 노출 확률 (–)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 – 0.6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예시값. 화원–외벽 거리, 필로티 구조 반영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e0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중공층·단열재 노출 확률(차단재 없음) (–)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 – 1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개구부 주위·하부가 열려 있을 때. 현장조사(EFFECT Tier 2 수준)로 확인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e1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중공층·단열재 노출 확률(불연 차단재 설치) (–)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 – 0.5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예시값. 차단재 시공 품질·시험 근거로 대체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cb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캐비티 배리어가 한 층 경계를 막을 확률 (–)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 – 0.9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예시값. 배리어를 넣은 중공층 시험·실대형 시험(KS F 8414)으로 대체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L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창→창 도약 확산 확률(한 층) (–)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0.15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0.05 – 0.3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예시값. 스팬드럴 높이·발코니 유무 반영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τ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L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도약 확산 한 층 소요시간(중앙값) (분)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 – 20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예시값. 구획화재 성장시간(FDS·CFAST)으로 대체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FS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외벽 화재 진압 유효 시각(중앙값, 분출 기준) (분)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 – 25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예시값. 관할 소방서 도착시간 + 전개시간(고가사다리 도달 높이 포함)으로 대체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RSET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상부층 피난 완료 시각(중앙값, 분출 기준) (분)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 – 25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예시값. 경보 방식·재실자 특성으로 피난 계산해 대체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실물/시험 층당 확산시간 비(τ = s·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600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 (–)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0.25 – 1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가정. 3 m·30 kW 시험을 실물 분출화염 조건으로 옮기는 계수. 실대형 시험(KS F 8414)으로 보정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d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노출 재실자 사망 확률(선택) (–)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0.05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0.01 – 0.2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예시값. 인명 지표로 환산할 때만 사용</w:t>
            </w:r>
          </w:p>
        </w:tc>
      </w:tr>
      <w:t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bscript"/>
              </w:rPr>
              <w:t xml:space="preserve">2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*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허용기준 예시: 발화층 위 2개 층 이상 확산 빈도 (/동·년)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1.0×10</w:t>
            </w:r>
            <w:r>
              <w:rPr>
                <w:rFonts w:ascii="Malgun Gothic" w:cs="Malgun Gothic" w:eastAsia="Malgun Gothic" w:hAnsi="Malgun Gothic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고정</w:t>
            </w:r>
          </w:p>
        </w:tc>
        <w:tc>
          <w:tcPr>
            <w:tcW w:type="dxa" w:w="3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예시값(규제 기준 아님). 사전협의에서 정함</w:t>
            </w:r>
          </w:p>
        </w:tc>
      </w:tr>
    </w:tbl>
    <w:p>
      <w:pPr>
        <w:spacing w:after="160" w:before="60"/>
      </w:pPr>
      <w:r>
        <w:rPr>
          <w:rFonts w:ascii="Malgun Gothic" w:cs="Malgun Gothic" w:eastAsia="Malgun Gothic" w:hAnsi="Malgun Gothic"/>
          <w:b/>
          <w:bCs/>
          <w:color w:val="4B5563"/>
          <w:sz w:val="18"/>
          <w:szCs w:val="18"/>
        </w:rPr>
        <w:t xml:space="preserve">범위는 몬테카를로의 인식론적 범위(확률: 삼각분포, 빈도·s: 로그균등). 사건별 변동: 진압·피난 시각 로그 σ 0.5, 도약 시간 0.3, 분출 지속 IE1 10–30분, IE2 5–20분.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4B5563"/>
        <w:sz w:val="16"/>
        <w:szCs w:val="16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4B5563"/>
        <w:sz w:val="16"/>
        <w:szCs w:val="16"/>
      </w:rPr>
      <w:t xml:space="preserve">외벽 정량적 화재위험성평가 — 보고서 서술 양식 (NFPA 551 7장)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330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Malgun Gothic" w:cs="Malgun Gothic" w:eastAsia="Malgun Gothic" w:hAnsi="Malgun Gothic"/>
      <w:b/>
      <w:bCs/>
      <w:color w:val="23303D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D1D5DB" w:sz="6" w:space="4"/>
      </w:pBdr>
      <w:spacing w:after="100" w:before="320"/>
      <w:outlineLvl w:val="1"/>
    </w:pPr>
    <w:rPr>
      <w:rFonts w:ascii="Malgun Gothic" w:cs="Malgun Gothic" w:eastAsia="Malgun Gothic" w:hAnsi="Malgun Gothic"/>
      <w:b/>
      <w:bCs/>
      <w:color w:val="23303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color w:val="2330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19ca2f1e5699c042ce0ee5a28547e4b3cf570b.png"/><Relationship Id="rId10" Type="http://schemas.openxmlformats.org/officeDocument/2006/relationships/image" Target="media/0807d554a2fc02ee64ed46a04706d9bca7940894.png"/><Relationship Id="rId11" Type="http://schemas.openxmlformats.org/officeDocument/2006/relationships/image" Target="media/ee63f33b758c05b16ea8a5d2bffa93f03e58970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외벽 정량적 화재위험성평가 — 보고서 서술 양식</dc:title>
  <dc:creator>KICT 중공층 외단열 화재 분석</dc:creator>
  <dc:description>NFPA 551(2022) 7장 문서 요건을 외벽(중공층 외단열) 정량 평가에 맞춘 항목별 작성 방법과 예문</dc:description>
  <cp:lastModifiedBy>Un-named</cp:lastModifiedBy>
  <cp:revision>1</cp:revision>
  <dcterms:created xsi:type="dcterms:W3CDTF">2026-10-23T06:32:24.219Z</dcterms:created>
  <dcterms:modified xsi:type="dcterms:W3CDTF">2026-10-23T06:32:24.219Z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