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B2810">
      <w:pPr>
        <w:pStyle w:val="3"/>
        <w:rPr>
          <w:rFonts w:hint="default" w:eastAsiaTheme="maj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Lab10</w:t>
      </w:r>
    </w:p>
    <w:p w14:paraId="229742FA">
      <w:pPr>
        <w:ind w:firstLine="720" w:firstLineChars="0"/>
        <w:rPr>
          <w:color w:val="auto"/>
        </w:rPr>
      </w:pPr>
      <w:r>
        <w:rPr>
          <w:color w:val="auto"/>
        </w:rPr>
        <w:t xml:space="preserve">This report documents the deployment of a predictive model using KServe on a local Minikube cluster. </w:t>
      </w:r>
    </w:p>
    <w:p w14:paraId="0D0A7DCD">
      <w:pPr>
        <w:pStyle w:val="4"/>
        <w:rPr>
          <w:color w:val="auto"/>
        </w:rPr>
      </w:pPr>
      <w:r>
        <w:rPr>
          <w:rFonts w:hint="eastAsia"/>
          <w:color w:val="auto"/>
          <w:lang w:val="en-US" w:eastAsia="zh-CN"/>
        </w:rPr>
        <w:t>Screenshots</w:t>
      </w:r>
      <w:r>
        <w:rPr>
          <w:color w:val="auto"/>
        </w:rPr>
        <w:t xml:space="preserve"> and Notes</w:t>
      </w:r>
    </w:p>
    <w:p w14:paraId="3C4E52D2">
      <w:pPr>
        <w:pStyle w:val="5"/>
        <w:jc w:val="center"/>
        <w:rPr>
          <w:color w:val="auto"/>
        </w:rPr>
      </w:pPr>
      <w:r>
        <w:rPr>
          <w:color w:val="auto"/>
        </w:rPr>
        <w:t>Minikube and KServe Installation Status</w:t>
      </w:r>
    </w:p>
    <w:p w14:paraId="0FFBA03B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1414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4DCC">
      <w:pPr>
        <w:ind w:firstLine="720" w:firstLineChars="0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 xml:space="preserve">It </w:t>
      </w:r>
      <w:r>
        <w:rPr>
          <w:color w:val="auto"/>
        </w:rPr>
        <w:t>confirms that Minikube is running correctly, the Kubernetes node is in Ready state, and all KServe controller components are running successfully.</w:t>
      </w:r>
    </w:p>
    <w:p w14:paraId="3401BE55">
      <w:pPr>
        <w:pStyle w:val="5"/>
        <w:jc w:val="center"/>
        <w:rPr>
          <w:color w:val="auto"/>
        </w:rPr>
      </w:pPr>
      <w:r>
        <w:rPr>
          <w:color w:val="auto"/>
        </w:rPr>
        <w:t>InferenceService Deployment (opt-vllm)</w:t>
      </w:r>
    </w:p>
    <w:p w14:paraId="7FD27A6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086225" cy="2747645"/>
            <wp:effectExtent l="0" t="0" r="3175" b="20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8EA7">
      <w:pPr>
        <w:ind w:firstLine="720" w:firstLineChars="0"/>
        <w:rPr>
          <w:color w:val="auto"/>
        </w:rPr>
      </w:pPr>
      <w:r>
        <w:rPr>
          <w:color w:val="auto"/>
        </w:rPr>
        <w:t>The InferenceService definition for the opt-vllm model is shown. This confirms that the predictive model was successfully deployed and recognized by KServe.</w:t>
      </w:r>
    </w:p>
    <w:p w14:paraId="5503F7BC">
      <w:pPr>
        <w:pStyle w:val="5"/>
        <w:jc w:val="center"/>
        <w:rPr>
          <w:color w:val="auto"/>
        </w:rPr>
      </w:pPr>
      <w:r>
        <w:rPr>
          <w:color w:val="auto"/>
        </w:rPr>
        <w:t>Pod Scheduling and Debugging Information</w:t>
      </w:r>
    </w:p>
    <w:p w14:paraId="43DBF4DC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1012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BDA">
      <w:pPr>
        <w:ind w:firstLine="720" w:firstLineChars="0"/>
        <w:rPr>
          <w:color w:val="auto"/>
        </w:rPr>
      </w:pPr>
      <w:r>
        <w:rPr>
          <w:color w:val="auto"/>
        </w:rPr>
        <w:t>Pod event logs indicate scheduling failures caused by insufficient CPU and memory resources. This demonstrates active monitoring and systematic debugging of deployment issues.</w:t>
      </w:r>
    </w:p>
    <w:p w14:paraId="7ED1AAEA">
      <w:pPr>
        <w:pStyle w:val="5"/>
        <w:ind w:firstLine="720" w:firstLineChars="0"/>
        <w:jc w:val="center"/>
        <w:rPr>
          <w:color w:val="auto"/>
        </w:rPr>
      </w:pPr>
      <w:r>
        <w:rPr>
          <w:color w:val="auto"/>
        </w:rPr>
        <w:t>Service Exposure for External Access</w:t>
      </w:r>
    </w:p>
    <w:p w14:paraId="435CC3B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905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8D7C">
      <w:pPr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eastAsia="宋体"/>
          <w:color w:val="auto"/>
          <w:lang w:val="en-US" w:eastAsia="zh-CN"/>
        </w:rPr>
        <w:tab/>
      </w:r>
      <w:r>
        <w:rPr>
          <w:color w:val="auto"/>
        </w:rPr>
        <w:t>The predictor service is exposed as a ClusterIP service. This shows that external access can be achieved using kubectl port-forward.</w:t>
      </w:r>
    </w:p>
    <w:p w14:paraId="7A9DA7E4">
      <w:pPr>
        <w:pStyle w:val="5"/>
        <w:jc w:val="center"/>
        <w:rPr>
          <w:color w:val="auto"/>
        </w:rPr>
      </w:pPr>
      <w:r>
        <w:rPr>
          <w:color w:val="auto"/>
        </w:rPr>
        <w:t>Inference Request and Result Interpretation</w:t>
      </w:r>
    </w:p>
    <w:p w14:paraId="5073E1E8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1146810"/>
            <wp:effectExtent l="0" t="0" r="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DA62">
      <w:pPr>
        <w:ind w:firstLine="720" w:firstLineChars="0"/>
        <w:rPr>
          <w:color w:val="auto"/>
        </w:rPr>
      </w:pPr>
      <w:r>
        <w:rPr>
          <w:color w:val="auto"/>
        </w:rPr>
        <w:t>The inference request command and its execution result are shown. Although the request could not be completed due to environment limitations, the request format and expected behavior were clearly demonstrated.</w:t>
      </w:r>
      <w:bookmarkStart w:id="0" w:name="_GoBack"/>
      <w:bookmarkEnd w:id="0"/>
    </w:p>
    <w:p w14:paraId="53870F9F">
      <w:pPr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FC87B"/>
    <w:rsid w:val="D269164B"/>
    <w:rsid w:val="DF3DB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王梓旭</cp:lastModifiedBy>
  <dcterms:modified xsi:type="dcterms:W3CDTF">2025-12-21T14:28:55Z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18E627542632BCB329934769BBB9F0B6_42</vt:lpwstr>
  </property>
</Properties>
</file>