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Antônio Teixeira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w:t>
            </w:r>
          </w:p>
        </w:tc>
      </w:tr>
    </w:tbl>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a  notoriedade de seus novos produtos, para assim, conseguir criar novos programas que vão a favor de todas essas características, tendo maior certeza de sucesso.</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nossa proposta é o PredTv, uma inteligência artificial capaz de prever o score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t xml:space="preserve">3.2. Ferramentas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1"/>
      <w:bookmarkEnd w:id="11"/>
      <w:r w:rsidDel="00000000" w:rsidR="00000000" w:rsidRPr="00000000">
        <w:rPr>
          <w:rtl w:val="0"/>
        </w:rPr>
        <w:t xml:space="preserve">3.3. Principais técnicas empregadas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2"/>
      <w:bookmarkEnd w:id="12"/>
      <w:r w:rsidDel="00000000" w:rsidR="00000000" w:rsidRPr="00000000">
        <w:rPr>
          <w:rtl w:val="0"/>
        </w:rPr>
        <w:t xml:space="preserve">4. Desenvolvimento e Resultados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3"/>
      <w:bookmarkEnd w:id="13"/>
      <w:r w:rsidDel="00000000" w:rsidR="00000000" w:rsidRPr="00000000">
        <w:rPr>
          <w:rtl w:val="0"/>
        </w:rPr>
        <w:t xml:space="preserve">4.1. Compreensão do Problema</w:t>
      </w:r>
    </w:p>
    <w:p w:rsidR="00000000" w:rsidDel="00000000" w:rsidP="00000000" w:rsidRDefault="00000000" w:rsidRPr="00000000" w14:paraId="000000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63">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idade, gênero e classe social do público-alvo. Uma vez que a previsão será direcionada à audiência da Rede Gazeta, serão considerados para análise os telespectadores da TV A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64">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65">
      <w:pPr>
        <w:spacing w:after="0" w:line="360" w:lineRule="auto"/>
        <w:rPr>
          <w:highlight w:val="white"/>
        </w:rPr>
      </w:pPr>
      <w:r w:rsidDel="00000000" w:rsidR="00000000" w:rsidRPr="00000000">
        <w:rPr>
          <w:rtl w:val="0"/>
        </w:rPr>
      </w:r>
    </w:p>
    <w:p w:rsidR="00000000" w:rsidDel="00000000" w:rsidP="00000000" w:rsidRDefault="00000000" w:rsidRPr="00000000" w14:paraId="00000066">
      <w:pPr>
        <w:spacing w:after="0" w:line="360" w:lineRule="auto"/>
        <w:rPr>
          <w:highlight w:val="white"/>
        </w:rPr>
      </w:pPr>
      <w:r w:rsidDel="00000000" w:rsidR="00000000" w:rsidRPr="00000000">
        <w:rPr>
          <w:rtl w:val="0"/>
        </w:rPr>
      </w:r>
    </w:p>
    <w:p w:rsidR="00000000" w:rsidDel="00000000" w:rsidP="00000000" w:rsidRDefault="00000000" w:rsidRPr="00000000" w14:paraId="00000067">
      <w:pPr>
        <w:spacing w:after="0" w:line="360" w:lineRule="auto"/>
        <w:rPr>
          <w:highlight w:val="white"/>
        </w:rPr>
      </w:pPr>
      <w:r w:rsidDel="00000000" w:rsidR="00000000" w:rsidRPr="00000000">
        <w:rPr>
          <w:rtl w:val="0"/>
        </w:rPr>
      </w:r>
    </w:p>
    <w:p w:rsidR="00000000" w:rsidDel="00000000" w:rsidP="00000000" w:rsidRDefault="00000000" w:rsidRPr="00000000" w14:paraId="00000068">
      <w:pPr>
        <w:spacing w:after="0" w:line="360" w:lineRule="auto"/>
        <w:rPr>
          <w:highlight w:val="white"/>
        </w:rPr>
      </w:pPr>
      <w:r w:rsidDel="00000000" w:rsidR="00000000" w:rsidRPr="00000000">
        <w:rPr>
          <w:rtl w:val="0"/>
        </w:rPr>
      </w:r>
    </w:p>
    <w:p w:rsidR="00000000" w:rsidDel="00000000" w:rsidP="00000000" w:rsidRDefault="00000000" w:rsidRPr="00000000" w14:paraId="00000069">
      <w:pPr>
        <w:spacing w:after="0" w:line="360" w:lineRule="auto"/>
        <w:rPr>
          <w:highlight w:val="white"/>
        </w:rPr>
      </w:pPr>
      <w:r w:rsidDel="00000000" w:rsidR="00000000" w:rsidRPr="00000000">
        <w:rPr>
          <w:rtl w:val="0"/>
        </w:rPr>
      </w:r>
    </w:p>
    <w:p w:rsidR="00000000" w:rsidDel="00000000" w:rsidP="00000000" w:rsidRDefault="00000000" w:rsidRPr="00000000" w14:paraId="0000006A">
      <w:pPr>
        <w:spacing w:after="0" w:line="360" w:lineRule="auto"/>
        <w:rPr>
          <w:highlight w:val="white"/>
        </w:rPr>
      </w:pPr>
      <w:r w:rsidDel="00000000" w:rsidR="00000000" w:rsidRPr="00000000">
        <w:rPr>
          <w:rtl w:val="0"/>
        </w:rPr>
      </w:r>
    </w:p>
    <w:p w:rsidR="00000000" w:rsidDel="00000000" w:rsidP="00000000" w:rsidRDefault="00000000" w:rsidRPr="00000000" w14:paraId="0000006B">
      <w:pPr>
        <w:spacing w:after="0" w:line="360" w:lineRule="auto"/>
        <w:rPr>
          <w:highlight w:val="white"/>
        </w:rPr>
      </w:pPr>
      <w:r w:rsidDel="00000000" w:rsidR="00000000" w:rsidRPr="00000000">
        <w:rPr>
          <w:rtl w:val="0"/>
        </w:rPr>
      </w:r>
    </w:p>
    <w:p w:rsidR="00000000" w:rsidDel="00000000" w:rsidP="00000000" w:rsidRDefault="00000000" w:rsidRPr="00000000" w14:paraId="0000006C">
      <w:pPr>
        <w:spacing w:after="0" w:line="360" w:lineRule="auto"/>
        <w:rPr>
          <w:highlight w:val="white"/>
        </w:rPr>
      </w:pPr>
      <w:r w:rsidDel="00000000" w:rsidR="00000000" w:rsidRPr="00000000">
        <w:rPr>
          <w:rtl w:val="0"/>
        </w:rPr>
      </w:r>
    </w:p>
    <w:p w:rsidR="00000000" w:rsidDel="00000000" w:rsidP="00000000" w:rsidRDefault="00000000" w:rsidRPr="00000000" w14:paraId="0000006D">
      <w:pPr>
        <w:spacing w:after="0" w:line="360" w:lineRule="auto"/>
        <w:rPr>
          <w:highlight w:val="white"/>
        </w:rPr>
      </w:pPr>
      <w:r w:rsidDel="00000000" w:rsidR="00000000" w:rsidRPr="00000000">
        <w:rPr>
          <w:rtl w:val="0"/>
        </w:rPr>
      </w:r>
    </w:p>
    <w:p w:rsidR="00000000" w:rsidDel="00000000" w:rsidP="00000000" w:rsidRDefault="00000000" w:rsidRPr="00000000" w14:paraId="0000006E">
      <w:pPr>
        <w:spacing w:after="0" w:line="360" w:lineRule="auto"/>
        <w:rPr>
          <w:highlight w:val="white"/>
        </w:rPr>
      </w:pPr>
      <w:r w:rsidDel="00000000" w:rsidR="00000000" w:rsidRPr="00000000">
        <w:rPr>
          <w:rtl w:val="0"/>
        </w:rPr>
      </w:r>
    </w:p>
    <w:p w:rsidR="00000000" w:rsidDel="00000000" w:rsidP="00000000" w:rsidRDefault="00000000" w:rsidRPr="00000000" w14:paraId="0000006F">
      <w:pPr>
        <w:spacing w:after="0" w:line="360" w:lineRule="auto"/>
        <w:rPr>
          <w:highlight w:val="white"/>
        </w:rPr>
      </w:pPr>
      <w:r w:rsidDel="00000000" w:rsidR="00000000" w:rsidRPr="00000000">
        <w:rPr>
          <w:rtl w:val="0"/>
        </w:rPr>
      </w:r>
    </w:p>
    <w:p w:rsidR="00000000" w:rsidDel="00000000" w:rsidP="00000000" w:rsidRDefault="00000000" w:rsidRPr="00000000" w14:paraId="00000070">
      <w:pPr>
        <w:spacing w:after="0" w:line="360" w:lineRule="auto"/>
        <w:rPr>
          <w:highlight w:val="white"/>
        </w:rPr>
      </w:pPr>
      <w:r w:rsidDel="00000000" w:rsidR="00000000" w:rsidRPr="00000000">
        <w:rPr>
          <w:rtl w:val="0"/>
        </w:rPr>
      </w:r>
    </w:p>
    <w:p w:rsidR="00000000" w:rsidDel="00000000" w:rsidP="00000000" w:rsidRDefault="00000000" w:rsidRPr="00000000" w14:paraId="00000071">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72">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3">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74">
      <w:pPr>
        <w:spacing w:after="0" w:line="360" w:lineRule="auto"/>
        <w:rPr>
          <w:highlight w:val="white"/>
        </w:rPr>
      </w:pPr>
      <w:r w:rsidDel="00000000" w:rsidR="00000000" w:rsidRPr="00000000">
        <w:rPr>
          <w:rtl w:val="0"/>
        </w:rPr>
      </w:r>
    </w:p>
    <w:p w:rsidR="00000000" w:rsidDel="00000000" w:rsidP="00000000" w:rsidRDefault="00000000" w:rsidRPr="00000000" w14:paraId="00000075">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76">
      <w:pPr>
        <w:spacing w:after="0" w:line="360" w:lineRule="auto"/>
        <w:rPr>
          <w:highlight w:val="white"/>
        </w:rPr>
      </w:pPr>
      <w:r w:rsidDel="00000000" w:rsidR="00000000" w:rsidRPr="00000000">
        <w:rPr>
          <w:rtl w:val="0"/>
        </w:rPr>
      </w:r>
    </w:p>
    <w:p w:rsidR="00000000" w:rsidDel="00000000" w:rsidP="00000000" w:rsidRDefault="00000000" w:rsidRPr="00000000" w14:paraId="00000077">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78">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9">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7A">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B">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7E">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5"/>
      <w:bookmarkEnd w:id="15"/>
      <w:r w:rsidDel="00000000" w:rsidR="00000000" w:rsidRPr="00000000">
        <w:rPr>
          <w:rtl w:val="0"/>
        </w:rPr>
        <w:t xml:space="preserve">4.1.2. Análise SWOT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925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6"/>
      <w:bookmarkEnd w:id="16"/>
      <w:r w:rsidDel="00000000" w:rsidR="00000000" w:rsidRPr="00000000">
        <w:rPr>
          <w:rtl w:val="0"/>
        </w:rPr>
        <w:t xml:space="preserve">4.1.3. Planejamento Geral da Solução</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pela emissora.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17"/>
      <w:bookmarkEnd w:id="17"/>
      <w:r w:rsidDel="00000000" w:rsidR="00000000" w:rsidRPr="00000000">
        <w:rPr>
          <w:rtl w:val="0"/>
        </w:rPr>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18"/>
      <w:bookmarkEnd w:id="18"/>
      <w:r w:rsidDel="00000000" w:rsidR="00000000" w:rsidRPr="00000000">
        <w:rPr>
          <w:rtl w:val="0"/>
        </w:rPr>
        <w:t xml:space="preserve">4.1.4. Value Proposition Canvas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6289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19"/>
      <w:bookmarkEnd w:id="19"/>
      <w:r w:rsidDel="00000000" w:rsidR="00000000" w:rsidRPr="00000000">
        <w:rPr>
          <w:rtl w:val="0"/>
        </w:rPr>
        <w:t xml:space="preserve">4.1.5. Matriz de Riscos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83866" cy="2571362"/>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0"/>
      <w:bookmarkEnd w:id="20"/>
      <w:r w:rsidDel="00000000" w:rsidR="00000000" w:rsidRPr="00000000">
        <w:rPr>
          <w:rtl w:val="0"/>
        </w:rPr>
        <w:t xml:space="preserve">4.1.6. Personas</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2kqzta0daq1" w:id="21"/>
      <w:bookmarkEnd w:id="21"/>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dvv1go9zgbr" w:id="22"/>
      <w:bookmarkEnd w:id="22"/>
      <w:r w:rsidDel="00000000" w:rsidR="00000000" w:rsidRPr="00000000">
        <w:rPr>
          <w:rtl w:val="0"/>
        </w:rPr>
        <w:t xml:space="preserve">4.1.7. Jornadas do Usuário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nhy4nj5xqyk" w:id="23"/>
      <w:bookmarkEnd w:id="23"/>
      <w:r w:rsidDel="00000000" w:rsidR="00000000" w:rsidRPr="00000000">
        <w:rPr>
          <w:rtl w:val="0"/>
        </w:rPr>
        <w:t xml:space="preserve">4.2. Compreensão dos Dados</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0B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0B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0B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e assim definir a relação entre telespectadores, horário e tipo de conteúdo.</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0B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0B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highlight w:val="white"/>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highlight w:val="white"/>
        </w:rPr>
        <w:drawing>
          <wp:inline distB="114300" distT="114300" distL="114300" distR="114300">
            <wp:extent cx="3820118" cy="3820118"/>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20118" cy="382011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3132073" cy="323647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32073" cy="3236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rtl w:val="0"/>
        </w:rPr>
      </w:r>
    </w:p>
    <w:p w:rsidR="00000000" w:rsidDel="00000000" w:rsidP="00000000" w:rsidRDefault="00000000" w:rsidRPr="00000000" w14:paraId="000000C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24"/>
      <w:bookmarkEnd w:id="24"/>
      <w:r w:rsidDel="00000000" w:rsidR="00000000" w:rsidRPr="00000000">
        <w:rPr>
          <w:rtl w:val="0"/>
        </w:rPr>
        <w:t xml:space="preserve">4.3. Preparação dos Dados</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whwml4" w:id="25"/>
      <w:bookmarkEnd w:id="25"/>
      <w:r w:rsidDel="00000000" w:rsidR="00000000" w:rsidRPr="00000000">
        <w:rPr>
          <w:rtl w:val="0"/>
        </w:rPr>
      </w:r>
    </w:p>
    <w:p w:rsidR="00000000" w:rsidDel="00000000" w:rsidP="00000000" w:rsidRDefault="00000000" w:rsidRPr="00000000" w14:paraId="000000D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26"/>
      <w:bookmarkEnd w:id="26"/>
      <w:r w:rsidDel="00000000" w:rsidR="00000000" w:rsidRPr="00000000">
        <w:rPr>
          <w:rtl w:val="0"/>
        </w:rPr>
      </w:r>
    </w:p>
    <w:p w:rsidR="00000000" w:rsidDel="00000000" w:rsidP="00000000" w:rsidRDefault="00000000" w:rsidRPr="00000000" w14:paraId="000000D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27"/>
      <w:bookmarkEnd w:id="27"/>
      <w:r w:rsidDel="00000000" w:rsidR="00000000" w:rsidRPr="00000000">
        <w:rPr>
          <w:rtl w:val="0"/>
        </w:rPr>
        <w:t xml:space="preserve">4.4. Modelagem</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29"/>
      <w:bookmarkEnd w:id="29"/>
      <w:r w:rsidDel="00000000" w:rsidR="00000000" w:rsidRPr="00000000">
        <w:rPr>
          <w:rtl w:val="0"/>
        </w:rPr>
      </w:r>
    </w:p>
    <w:p w:rsidR="00000000" w:rsidDel="00000000" w:rsidP="00000000" w:rsidRDefault="00000000" w:rsidRPr="00000000" w14:paraId="000000D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ivvxgi6bpdw" w:id="30"/>
      <w:bookmarkEnd w:id="30"/>
      <w:r w:rsidDel="00000000" w:rsidR="00000000" w:rsidRPr="00000000">
        <w:rPr>
          <w:rtl w:val="0"/>
        </w:rPr>
      </w:r>
    </w:p>
    <w:p w:rsidR="00000000" w:rsidDel="00000000" w:rsidP="00000000" w:rsidRDefault="00000000" w:rsidRPr="00000000" w14:paraId="000000D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31"/>
      <w:bookmarkEnd w:id="31"/>
      <w:r w:rsidDel="00000000" w:rsidR="00000000" w:rsidRPr="00000000">
        <w:rPr>
          <w:rtl w:val="0"/>
        </w:rPr>
        <w:t xml:space="preserve">4.5. Avaliação</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0D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1cqj72p9wo" w:id="32"/>
      <w:bookmarkEnd w:id="3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3usqfabhz8x" w:id="33"/>
      <w:bookmarkEnd w:id="33"/>
      <w:r w:rsidDel="00000000" w:rsidR="00000000" w:rsidRPr="00000000">
        <w:rPr>
          <w:rtl w:val="0"/>
        </w:rPr>
        <w:t xml:space="preserve">4.6 Comparação de Modelos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34"/>
      <w:bookmarkEnd w:id="34"/>
      <w:r w:rsidDel="00000000" w:rsidR="00000000" w:rsidRPr="00000000">
        <w:rPr>
          <w:rtl w:val="0"/>
        </w:rPr>
        <w:t xml:space="preserve">5. Conclusões e Recomendações</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35"/>
      <w:bookmarkEnd w:id="35"/>
      <w:r w:rsidDel="00000000" w:rsidR="00000000" w:rsidRPr="00000000">
        <w:rPr>
          <w:rtl w:val="0"/>
        </w:rPr>
        <w:t xml:space="preserve">6. Referências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03">
      <w:pPr>
        <w:numPr>
          <w:ilvl w:val="0"/>
          <w:numId w:val="3"/>
        </w:numPr>
        <w:spacing w:after="0" w:line="360" w:lineRule="auto"/>
        <w:ind w:left="720" w:hanging="360"/>
        <w:rPr>
          <w:rFonts w:ascii="Arial" w:cs="Arial" w:eastAsia="Arial" w:hAnsi="Arial"/>
          <w:sz w:val="24"/>
          <w:szCs w:val="24"/>
          <w:highlight w:val="white"/>
        </w:rPr>
      </w:pPr>
      <w:hyperlink r:id="rId18">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04">
      <w:pPr>
        <w:numPr>
          <w:ilvl w:val="0"/>
          <w:numId w:val="3"/>
        </w:numPr>
        <w:spacing w:after="0" w:line="360" w:lineRule="auto"/>
        <w:ind w:left="720" w:hanging="360"/>
        <w:rPr>
          <w:rFonts w:ascii="Arial" w:cs="Arial" w:eastAsia="Arial" w:hAnsi="Arial"/>
          <w:sz w:val="24"/>
          <w:szCs w:val="24"/>
          <w:highlight w:val="white"/>
        </w:rPr>
      </w:pPr>
      <w:hyperlink r:id="rId19">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05">
      <w:pPr>
        <w:numPr>
          <w:ilvl w:val="0"/>
          <w:numId w:val="3"/>
        </w:numPr>
        <w:spacing w:after="0" w:line="360" w:lineRule="auto"/>
        <w:ind w:left="720" w:hanging="360"/>
        <w:rPr>
          <w:rFonts w:ascii="Arial" w:cs="Arial" w:eastAsia="Arial" w:hAnsi="Arial"/>
          <w:sz w:val="24"/>
          <w:szCs w:val="24"/>
          <w:highlight w:val="white"/>
        </w:rPr>
      </w:pPr>
      <w:hyperlink r:id="rId20">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06">
      <w:pPr>
        <w:numPr>
          <w:ilvl w:val="0"/>
          <w:numId w:val="3"/>
        </w:numPr>
        <w:spacing w:after="0" w:line="360" w:lineRule="auto"/>
        <w:ind w:left="720" w:hanging="360"/>
        <w:rPr>
          <w:rFonts w:ascii="Arial" w:cs="Arial" w:eastAsia="Arial" w:hAnsi="Arial"/>
          <w:sz w:val="24"/>
          <w:szCs w:val="24"/>
          <w:highlight w:val="white"/>
        </w:rPr>
      </w:pPr>
      <w:hyperlink r:id="rId21">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07">
      <w:pPr>
        <w:numPr>
          <w:ilvl w:val="0"/>
          <w:numId w:val="3"/>
        </w:numPr>
        <w:spacing w:after="0" w:line="360" w:lineRule="auto"/>
        <w:ind w:left="720" w:hanging="360"/>
        <w:rPr>
          <w:rFonts w:ascii="Arial" w:cs="Arial" w:eastAsia="Arial" w:hAnsi="Arial"/>
          <w:sz w:val="24"/>
          <w:szCs w:val="24"/>
          <w:highlight w:val="white"/>
        </w:rPr>
      </w:pPr>
      <w:hyperlink r:id="rId22">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08">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36"/>
      <w:bookmarkEnd w:id="36"/>
      <w:r w:rsidDel="00000000" w:rsidR="00000000" w:rsidRPr="00000000">
        <w:rPr>
          <w:rtl w:val="0"/>
        </w:rPr>
        <w:t xml:space="preserve">Anexos</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6"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oticiasdatv.uol.com.br/noticia/mercado/em-crise-no-ibope-sbt-lucra-r-141-milhoes-gracas-futebol-e-show-do-milhao-81153" TargetMode="External"/><Relationship Id="rId22" Type="http://schemas.openxmlformats.org/officeDocument/2006/relationships/hyperlink" Target="https://oglobo.globo.com/economia/negocios/noticia/2022/05/tv-aberta-e-canais-por-assinatura-concentram-79percent-do-consumo-de-video-do-brasileiro.ghtml" TargetMode="External"/><Relationship Id="rId21" Type="http://schemas.openxmlformats.org/officeDocument/2006/relationships/hyperlink" Target="https://noticiasdatv.uol.com.br/noticia/mercado/record-investe-r-622-milhoes-mas-tem-lucro-menor-que-o-sbt-em-2021-81476" TargetMode="External"/><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18" Type="http://schemas.openxmlformats.org/officeDocument/2006/relationships/hyperlink" Target="https://agenciabrasil.ebc.com.br/geral/noticia/2022-01/tv-brasil-avanca-e-ja-e-5a-emissora-mais-assistida-do-pai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