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April</w:t>
      </w:r>
      <w:r>
        <w:t xml:space="preserve"> </w:t>
      </w:r>
      <w:r>
        <w:t xml:space="preserve">4,</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In California, there is a small percentage of public tap water systems that have been found to be in violation at least one point in their time since 2012</w:t>
      </w:r>
      <w:r>
        <w:t xml:space="preserve"> </w:t>
      </w:r>
      <w:r>
        <w:t xml:space="preserve">(Reese 2018)</w:t>
      </w:r>
      <w:r>
        <w:t xml:space="preserve">. Further studies have revealed that water system violations in California transpire in low-income communities, where there are limited resources which makes it difficult to meet the standards, driving the inequitable access to safe tap water</w:t>
      </w:r>
      <w:r>
        <w:t xml:space="preserve"> </w:t>
      </w:r>
      <w:r>
        <w:t xml:space="preserve">(Balazs et al. 2012, Balazs and Ray 2014)</w:t>
      </w:r>
      <w:r>
        <w:t xml:space="preserve">.</w:t>
      </w:r>
      <w:r>
        <w:t xml:space="preserve"> </w:t>
      </w: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In addition, public restrooms in high-income locations are known to display cleaner facilities and conditions compared to the restrooms in low and medium-income areas</w:t>
      </w:r>
      <w:r>
        <w:t xml:space="preserve"> </w:t>
      </w:r>
      <w:r>
        <w:t xml:space="preserve">(Suen et al. 2019)</w:t>
      </w:r>
      <w:r>
        <w:t xml:space="preserve">.</w:t>
      </w:r>
      <w:r>
        <w:t xml:space="preserve"> </w:t>
      </w:r>
      <w:r>
        <w:t xml:space="preserve">In this study, I focused on the bacterial richness in public tap water of San Francisco’s public restrooms (Pit Stop bathrooms) and how they vary regarding population density and the average neighborhood income. Additionally, I tested the pH levels between Outer Richmond’s Lake Stow and Lakeshore’s Lake Merced to investigate the pH levels between the lakes with differing green space.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several locations on the sink in the same bathrooms. The publicly-available datasets consisted of information pertaining to San Francisco’s average income values along with San Francisco’s census data.</w:t>
      </w:r>
    </w:p>
    <w:bookmarkEnd w:id="20"/>
    <w:bookmarkStart w:id="28"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 (CC), Mission (MI), Bayview (BA), and Lakeshore (LA). 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5" w:name="site-locations-and-descriptions"/>
    <w:p>
      <w:pPr>
        <w:pStyle w:val="Heading2"/>
      </w:pPr>
      <w:r>
        <w:t xml:space="preserve">Site Locations and Descriptions</w:t>
      </w:r>
    </w:p>
    <w:p>
      <w:pPr>
        <w:pStyle w:val="FirstParagraph"/>
      </w:pPr>
      <w:r>
        <w:t xml:space="preserve">Add text here.</w:t>
      </w:r>
    </w:p>
    <w:bookmarkEnd w:id="25"/>
    <w:bookmarkStart w:id="26" w:name="field-sampling-design"/>
    <w:p>
      <w:pPr>
        <w:pStyle w:val="Heading2"/>
      </w:pPr>
      <w:r>
        <w:t xml:space="preserve">Field Sampling Design</w:t>
      </w:r>
    </w:p>
    <w:p>
      <w:pPr>
        <w:pStyle w:val="FirstParagraph"/>
      </w:pPr>
      <w:r>
        <w:t xml:space="preserve">Add text here.</w:t>
      </w:r>
    </w:p>
    <w:bookmarkEnd w:id="26"/>
    <w:bookmarkStart w:id="27" w:name="data-analysis-and-statistics"/>
    <w:p>
      <w:pPr>
        <w:pStyle w:val="Heading2"/>
      </w:pPr>
      <w:r>
        <w:t xml:space="preserve">Data Analysis and Statistics</w:t>
      </w:r>
    </w:p>
    <w:p>
      <w:pPr>
        <w:pStyle w:val="FirstParagraph"/>
      </w:pPr>
      <w:r>
        <w:t xml:space="preserve">Add text here.</w:t>
      </w:r>
    </w:p>
    <w:bookmarkEnd w:id="27"/>
    <w:bookmarkEnd w:id="28"/>
    <w:bookmarkStart w:id="30" w:name="results"/>
    <w:p>
      <w:pPr>
        <w:pStyle w:val="Heading1"/>
      </w:pPr>
      <w:r>
        <w:t xml:space="preserve">Results</w:t>
      </w:r>
    </w:p>
    <w:bookmarkStart w:id="29" w:name="X47bd45646dcb82dce1088fd87198513f6d51bd5"/>
    <w:p>
      <w:pPr>
        <w:pStyle w:val="Heading2"/>
      </w:pPr>
      <w:r>
        <w:t xml:space="preserve">Subsections are ok in the results section too</w:t>
      </w:r>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r>
      <w:r>
        <w:rPr>
          <w:rStyle w:val="CommentTok"/>
        </w:rPr>
        <w:t xml:space="preserve"># also listed in the DESCRIPTION file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p>
    <w:bookmarkEnd w:id="29"/>
    <w:bookmarkEnd w:id="30"/>
    <w:bookmarkStart w:id="31" w:name="discussion"/>
    <w:p>
      <w:pPr>
        <w:pStyle w:val="Heading1"/>
      </w:pPr>
      <w:r>
        <w:t xml:space="preserve">Discussion</w:t>
      </w:r>
    </w:p>
    <w:bookmarkEnd w:id="31"/>
    <w:bookmarkStart w:id="43" w:name="sources-cited"/>
    <w:p>
      <w:pPr>
        <w:pStyle w:val="Heading1"/>
      </w:pPr>
      <w:r>
        <w:t xml:space="preserve">Sources Cited</w:t>
      </w:r>
    </w:p>
    <w:bookmarkStart w:id="42" w:name="refs"/>
    <w:bookmarkStart w:id="32"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32"/>
    <w:bookmarkStart w:id="34" w:name="ref-doi:10.2105/AJPH.2013.301664"/>
    <w:p>
      <w:pPr>
        <w:pStyle w:val="Bibliography"/>
      </w:pPr>
      <w:r>
        <w:t xml:space="preserve">Balazs, C. L., and I. Ray. 2014.</w:t>
      </w:r>
      <w:r>
        <w:t xml:space="preserve"> </w:t>
      </w:r>
      <w:hyperlink r:id="rId33">
        <w:r>
          <w:rPr>
            <w:rStyle w:val="Hyperlink"/>
          </w:rPr>
          <w:t xml:space="preserve">The drinking water disparities framework: On the origins and persistence of inequities in exposure</w:t>
        </w:r>
      </w:hyperlink>
      <w:r>
        <w:t xml:space="preserve">. American Journal of Public Health 104:603–611.</w:t>
      </w:r>
    </w:p>
    <w:bookmarkEnd w:id="34"/>
    <w:bookmarkStart w:id="36" w:name="ref-doi:10.2105/AJPH.2021.306561"/>
    <w:p>
      <w:pPr>
        <w:pStyle w:val="Bibliography"/>
      </w:pPr>
      <w:r>
        <w:t xml:space="preserve">Pace, C., C. Balazs, K. Bangia, N. Depsky, A. Renteria, R. Morello-Frosch, and L. J. Cushing. 2022.</w:t>
      </w:r>
      <w:r>
        <w:t xml:space="preserve"> </w:t>
      </w:r>
      <w:hyperlink r:id="rId35">
        <w:r>
          <w:rPr>
            <w:rStyle w:val="Hyperlink"/>
          </w:rPr>
          <w:t xml:space="preserve">Inequities in drinking water quality among domestic well communities and community water systems, california, 2011‒2019</w:t>
        </w:r>
      </w:hyperlink>
      <w:r>
        <w:t xml:space="preserve">. American Journal of Public Health 112:88–97.</w:t>
      </w:r>
    </w:p>
    <w:bookmarkEnd w:id="36"/>
    <w:bookmarkStart w:id="37" w:name="ref-reese2018does"/>
    <w:p>
      <w:pPr>
        <w:pStyle w:val="Bibliography"/>
      </w:pPr>
      <w:r>
        <w:t xml:space="preserve">Reese, P. 2018. Does your water district fail to comply with drinking water standards. Sacramento Bee.</w:t>
      </w:r>
    </w:p>
    <w:bookmarkEnd w:id="37"/>
    <w:bookmarkStart w:id="39" w:name="ref-STANWELLSMITH2010613"/>
    <w:p>
      <w:pPr>
        <w:pStyle w:val="Bibliography"/>
      </w:pPr>
      <w:r>
        <w:t xml:space="preserve">Stanwell-Smith, R. 2010.</w:t>
      </w:r>
      <w:r>
        <w:t xml:space="preserve"> </w:t>
      </w:r>
      <w:hyperlink r:id="rId38">
        <w:r>
          <w:rPr>
            <w:rStyle w:val="Hyperlink"/>
          </w:rPr>
          <w:t xml:space="preserve">Public toilets down the drain? Why privies are a public health concern</w:t>
        </w:r>
      </w:hyperlink>
      <w:r>
        <w:t xml:space="preserve">. Public Health 124:613–616.</w:t>
      </w:r>
    </w:p>
    <w:bookmarkEnd w:id="39"/>
    <w:bookmarkStart w:id="40"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40"/>
    <w:bookmarkStart w:id="41" w:name="ref-PitStop"/>
    <w:p>
      <w:pPr>
        <w:pStyle w:val="Bibliography"/>
      </w:pPr>
      <w:r>
        <w:t xml:space="preserve">Works, S. F. P. 2014. San francisco pit stop.</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6/j.puhe.2010.07.002" TargetMode="External" /><Relationship Type="http://schemas.openxmlformats.org/officeDocument/2006/relationships/hyperlink" Id="rId33" Target="https://doi.org/10.2105/AJPH.2013.301664" TargetMode="External" /><Relationship Type="http://schemas.openxmlformats.org/officeDocument/2006/relationships/hyperlink" Id="rId35" Target="https://doi.org/10.2105/AJPH.2021.306561"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puhe.2010.07.002" TargetMode="External" /><Relationship Type="http://schemas.openxmlformats.org/officeDocument/2006/relationships/hyperlink" Id="rId33" Target="https://doi.org/10.2105/AJPH.2013.301664" TargetMode="External" /><Relationship Type="http://schemas.openxmlformats.org/officeDocument/2006/relationships/hyperlink" Id="rId35" Target="https://doi.org/10.2105/AJPH.2021.306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2022-04-14T01:09:37Z</dcterms:created>
  <dcterms:modified xsi:type="dcterms:W3CDTF">2022-04-14T01:09:37Z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April 4, 2022</vt:lpwstr>
  </property>
  <property fmtid="{D5CDD505-2E9C-101B-9397-08002B2CF9AE}" pid="5" name="output">
    <vt:lpwstr>word_document</vt:lpwstr>
  </property>
</Properties>
</file>