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6.png" ContentType="image/png"/>
  <Override PartName="/word/media/rId33.png" ContentType="image/png"/>
  <Override PartName="/word/media/rId39.png" ContentType="image/png"/>
  <Override PartName="/word/media/rId45.png" ContentType="image/png"/>
  <Override PartName="/word/media/rId48.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p>
    <w:p>
      <w:pPr>
        <w:pStyle w:val="Author"/>
      </w:pPr>
      <w:r>
        <w:t xml:space="preserve">Andrae</w:t>
      </w:r>
      <w:r>
        <w:t xml:space="preserve"> </w:t>
      </w:r>
      <w:r>
        <w:t xml:space="preserve">Ladores</w:t>
      </w:r>
    </w:p>
    <w:p>
      <w:pPr>
        <w:pStyle w:val="Date"/>
      </w:pPr>
      <w:r>
        <w:t xml:space="preserve">May</w:t>
      </w:r>
      <w:r>
        <w:t xml:space="preserve"> </w:t>
      </w:r>
      <w:r>
        <w:t xml:space="preserve">9,</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Possible contaminants in public tap water can lead to instant illnesses, like acute gastroenteritis which produces roughly 16 million cases each year at United States community water systems</w:t>
      </w:r>
      <w:r>
        <w:t xml:space="preserve"> </w:t>
      </w:r>
      <w:r>
        <w:t xml:space="preserve">(Allaire et al. 2018)</w:t>
      </w:r>
      <w:r>
        <w:t xml:space="preserve">. In Wake County, North Carolina a predominantly Black periurban area has an approximated 114 yearly emergency department visits for acute gastrointestinal illness due to contaminated water service, roughly 22% of those cases can be prevented with adequate community water service</w:t>
      </w:r>
      <w:r>
        <w:t xml:space="preserve"> </w:t>
      </w:r>
      <w:r>
        <w:t xml:space="preserve">(Stillo and MacDonald Gibson 2017)</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 </w:t>
      </w:r>
      <w:r>
        <w:t xml:space="preserve">(Rubin 2013)</w:t>
      </w:r>
      <w:r>
        <w:t xml:space="preserve">. Additional studies have revealed that water system violations in California transpire in low-income communities, where there are limited resources which makes it difficult to meet the standards which drives the inequitable access to safe tap water</w:t>
      </w:r>
      <w:r>
        <w:t xml:space="preserve"> </w:t>
      </w:r>
      <w:r>
        <w:t xml:space="preserve">(Balazs et al. 2012, Balazs and Ray 2014, McDonald and Jones 2018)</w:t>
      </w:r>
      <w:r>
        <w:t xml:space="preserve">.</w:t>
      </w:r>
    </w:p>
    <w:p>
      <w:pPr>
        <w:pStyle w:val="BodyText"/>
      </w:pP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 comprehensive study that sampled specific restroom areas such as handles, toilet faucets, washbasin taps (sinks), soap dispenser bottoms, toilet papers, paper towels, hand dryers, and more found that in a total of 7482 samples, 89.25% were deemed contaminated</w:t>
      </w:r>
      <w:r>
        <w:t xml:space="preserve"> </w:t>
      </w:r>
      <w:r>
        <w:t xml:space="preserve">(Matini et al. 2020)</w:t>
      </w:r>
      <w:r>
        <w:t xml:space="preserve">. In addition, contamination levels were found to be incredibly high in low-income communities when compared to high-income communities for samples such as soil, bathing water, non-municipal water, surface water, and floodwater</w:t>
      </w:r>
      <w:r>
        <w:t xml:space="preserve"> </w:t>
      </w:r>
      <w:r>
        <w:t xml:space="preserve">(Amin et al. 2019)</w:t>
      </w:r>
      <w:r>
        <w:t xml:space="preserve">. Public restrooms in high-income locations are also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I proposed two hypotheses: (1) as population density increases, the total bacterial richness of a bathroom will increase and (2) as the average neighborhood income increases, the total bacterial richness will also increase.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San Francisco’s average neighborhood income values and San Francisco census data, obtained from the 2010 Census and 2020 American Community Survey data. Upon analysis of both the collected field data and public data through the use of R</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and tidycensus</w:t>
      </w:r>
      <w:r>
        <w:t xml:space="preserve"> </w:t>
      </w:r>
      <w:r>
        <w:t xml:space="preserve">(Walker and Herman 2022)</w:t>
      </w:r>
      <w:r>
        <w:t xml:space="preserve">, I found that the relationship between population density and bacterial richness was the opposite than the one I proposed - so, as the average population increased, the total bacterial count actually decreased. This is the same case for the relationship between average income and bacterial richness as well - as the average income level increased, the total colony count increased as well.</w:t>
      </w:r>
    </w:p>
    <w:bookmarkEnd w:id="20"/>
    <w:bookmarkStart w:id="29"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It’s important to note that I visited BA but upon arriving at the PitStop location, there were no PitStop bathrooms nor public restrooms to sample, so I instead sampled CA’s PitStop bathroom.</w:t>
      </w:r>
      <w:r>
        <w:t xml:space="preserve"> </w:t>
      </w:r>
      <w:r>
        <w:t xml:space="preserve">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 documented the morphology type of each bacteria, the count of each morphology 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PitStop datasets, obtained from</w:t>
      </w:r>
      <w:r>
        <w:t xml:space="preserve"> </w:t>
      </w:r>
      <w:hyperlink r:id="rId26">
        <w:r>
          <w:rPr>
            <w:rStyle w:val="Hyperlink"/>
          </w:rPr>
          <w:t xml:space="preserve">https://datasf.org</w:t>
        </w:r>
      </w:hyperlink>
      <w:r>
        <w:t xml:space="preserve">, to create the map and neighborhood figures. It is important to note that when using the American Community Survey and Census data, tracts were used instead of neighborhood districts, which should more accurately measure the income and population density data since tracts are smaller than neighborhood districts.</w:t>
      </w:r>
    </w:p>
    <w:p>
      <w:pPr>
        <w:pStyle w:val="BodyText"/>
      </w:pPr>
      <w:r>
        <w:t xml:space="preserve">To obtain both average population and income level of San Francisco’s neighborhoods, we were given an R code that analyzes the Analysis Neighborhood data and combined the neighborhood</w:t>
      </w:r>
      <w:r>
        <w:t xml:space="preserve"> </w:t>
      </w:r>
      <w:r>
        <w:t xml:space="preserve">“</w:t>
      </w:r>
      <w:r>
        <w:t xml:space="preserve">GEOID</w:t>
      </w:r>
      <w:r>
        <w:t xml:space="preserve">”</w:t>
      </w:r>
      <w:r>
        <w:t xml:space="preserve"> </w:t>
      </w:r>
      <w:r>
        <w:t xml:space="preserve">with the Census and American Community Survey’s</w:t>
      </w:r>
      <w:r>
        <w:t xml:space="preserve"> </w:t>
      </w:r>
      <w:r>
        <w:t xml:space="preserve">“</w:t>
      </w:r>
      <w:r>
        <w:t xml:space="preserve">GOEID,</w:t>
      </w:r>
      <w:r>
        <w:t xml:space="preserve">”</w:t>
      </w:r>
      <w:r>
        <w:t xml:space="preserve"> </w:t>
      </w:r>
      <w:r>
        <w:t xml:space="preserve">providing a list of information that contained both the raw population value and income levels with the respective neighborhoods. Using another R function, the raw population and income values were averaged. From there, I added new columns to my personal dataset and inputted the newly obtained information regarding the neighborhood’s average population and income level.</w:t>
      </w:r>
    </w:p>
    <w:bookmarkEnd w:id="27"/>
    <w:bookmarkStart w:id="28"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using R and the R package, ggplot2. When statistically analyzing my figures, I used R code to calculate the necessary p-value to test for significance. For the boxplot figures created, I ran an ANOVA for the figures that contained three or more categorical variables to test for significance. For the boxplots that contained just two categorical variables, I used an independent t-test to test for significance. For the barplot figure, I subsetted the morphotype description names and their count, then I took the top ten morphotype count and plotted the results into a barplot to visualize the most abundant morphotypes. In terms of the scatterplots and regression lines, I used a paired t-test to determine significance. For all the statistical analysis to determine significance, I used a level of significance of 0.05.</w:t>
      </w:r>
    </w:p>
    <w:bookmarkEnd w:id="28"/>
    <w:bookmarkEnd w:id="29"/>
    <w:bookmarkStart w:id="51" w:name="figures-and-data-analysis"/>
    <w:p>
      <w:pPr>
        <w:pStyle w:val="Heading1"/>
      </w:pPr>
      <w:r>
        <w:t xml:space="preserve">Figures and Data Analysis</w:t>
      </w:r>
    </w:p>
    <w:p>
      <w:pPr>
        <w:pStyle w:val="FirstParagraph"/>
      </w:pPr>
      <w:r>
        <w:drawing>
          <wp:inline>
            <wp:extent cx="5334000" cy="4267200"/>
            <wp:effectExtent b="0" l="0" r="0" t="0"/>
            <wp:docPr descr="" title="" id="31" name="Picture"/>
            <a:graphic>
              <a:graphicData uri="http://schemas.openxmlformats.org/drawingml/2006/picture">
                <pic:pic>
                  <pic:nvPicPr>
                    <pic:cNvPr descr="Final_Report_files/figure-docx/boxplot-total-colony-count-and-neighborhood-1.png" id="32"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BodyText"/>
      </w:pPr>
      <w:r>
        <w:drawing>
          <wp:inline>
            <wp:extent cx="5334000" cy="4267200"/>
            <wp:effectExtent b="0" l="0" r="0" t="0"/>
            <wp:docPr descr="" title="" id="34" name="Picture"/>
            <a:graphic>
              <a:graphicData uri="http://schemas.openxmlformats.org/drawingml/2006/picture">
                <pic:pic>
                  <pic:nvPicPr>
                    <pic:cNvPr descr="Final_Report_files/figure-docx/boxplot-total-colony-count-only-civic-center-and-outer-richmond-1.png" id="35"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BodyText"/>
      </w:pPr>
      <w:r>
        <w:drawing>
          <wp:inline>
            <wp:extent cx="5334000" cy="4267200"/>
            <wp:effectExtent b="0" l="0" r="0" t="0"/>
            <wp:docPr descr="" title="" id="37" name="Picture"/>
            <a:graphic>
              <a:graphicData uri="http://schemas.openxmlformats.org/drawingml/2006/picture">
                <pic:pic>
                  <pic:nvPicPr>
                    <pic:cNvPr descr="Final_Report_files/figure-docx/boxplot-total-colony-count-and-sink-location-1.png" id="38"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BodyText"/>
      </w:pPr>
      <w:r>
        <w:drawing>
          <wp:inline>
            <wp:extent cx="5334000" cy="4267200"/>
            <wp:effectExtent b="0" l="0" r="0" t="0"/>
            <wp:docPr descr="" title="" id="40" name="Picture"/>
            <a:graphic>
              <a:graphicData uri="http://schemas.openxmlformats.org/drawingml/2006/picture">
                <pic:pic>
                  <pic:nvPicPr>
                    <pic:cNvPr descr="Final_Report_files/figure-docx/create-barplot-for-morphotype-id-and-counts-1.png" id="41"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BodyText"/>
      </w:pPr>
      <w:r>
        <w:drawing>
          <wp:inline>
            <wp:extent cx="5334000" cy="4267200"/>
            <wp:effectExtent b="0" l="0" r="0" t="0"/>
            <wp:docPr descr="" title="" id="43" name="Picture"/>
            <a:graphic>
              <a:graphicData uri="http://schemas.openxmlformats.org/drawingml/2006/picture">
                <pic:pic>
                  <pic:nvPicPr>
                    <pic:cNvPr descr="Final_Report_files/figure-docx/sf-map-of-sampled-bathroom-location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BodyText"/>
      </w:pPr>
      <w:r>
        <w:drawing>
          <wp:inline>
            <wp:extent cx="5334000" cy="4267200"/>
            <wp:effectExtent b="0" l="0" r="0" t="0"/>
            <wp:docPr descr="" title="" id="46" name="Picture"/>
            <a:graphic>
              <a:graphicData uri="http://schemas.openxmlformats.org/drawingml/2006/picture">
                <pic:pic>
                  <pic:nvPicPr>
                    <pic:cNvPr descr="Final_Report_files/figure-docx/scatter-plot-and-regression-line-mean-median-income-and-total-colony-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BodyText"/>
      </w:pPr>
      <w:r>
        <w:drawing>
          <wp:inline>
            <wp:extent cx="5334000" cy="4267200"/>
            <wp:effectExtent b="0" l="0" r="0" t="0"/>
            <wp:docPr descr="" title="" id="49" name="Picture"/>
            <a:graphic>
              <a:graphicData uri="http://schemas.openxmlformats.org/drawingml/2006/picture">
                <pic:pic>
                  <pic:nvPicPr>
                    <pic:cNvPr descr="Final_Report_files/figure-docx/scatter-plot-and-regression-line-mean-median-population-and-total-colony-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bookmarkEnd w:id="51"/>
    <w:bookmarkStart w:id="55" w:name="results"/>
    <w:p>
      <w:pPr>
        <w:pStyle w:val="Heading1"/>
      </w:pPr>
      <w:r>
        <w:t xml:space="preserve">Results</w:t>
      </w:r>
    </w:p>
    <w:bookmarkStart w:id="52"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52"/>
    <w:bookmarkStart w:id="53" w:name="morphotypes"/>
    <w:p>
      <w:pPr>
        <w:pStyle w:val="Heading2"/>
      </w:pPr>
      <w:r>
        <w:t xml:space="preserve">Morphotypes</w:t>
      </w:r>
    </w:p>
    <w:p>
      <w:pPr>
        <w:pStyle w:val="FirstParagraph"/>
      </w:pPr>
      <w:r>
        <w:t xml:space="preserve">My barplot to analyze the top morphotype count of the various morphotype identification descriptions and their respective bacterial abundance (Figure 4),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53"/>
    <w:bookmarkStart w:id="54"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There was a higher colony count in areas of high average income (Figure 6). Similarly, the relationship between the microbial richness and the average population throughout San Francisco was significant, it had a t-test value of p-value of 3.024E-6; p &lt; 0.05 (Figure 7). There was a higher number of total bacterial colonies in areas of low average population (Figure 7).</w:t>
      </w:r>
    </w:p>
    <w:bookmarkEnd w:id="54"/>
    <w:bookmarkEnd w:id="55"/>
    <w:bookmarkStart w:id="61" w:name="discussion"/>
    <w:p>
      <w:pPr>
        <w:pStyle w:val="Heading1"/>
      </w:pPr>
      <w:r>
        <w:t xml:space="preserve">Discussion</w:t>
      </w:r>
    </w:p>
    <w:p>
      <w:pPr>
        <w:pStyle w:val="FirstParagraph"/>
      </w:pPr>
      <w:r>
        <w:t xml:space="preserve">This study aimed to provide information regarding the relationship between the bacterial richness of public tap water and public restrooms (Pit Stops) in regards to San Francisco’s average population density and average neighborhood income values. I hypothesized a negative correlation between the average income and bacterial count, so as average income increases, the bacterial richness of such bathrooms would decrease. In actuality, a negative correlation was not observed at all, the regression line displayed a positive relationship between average income and total colony count (Figure 6). Likewise, I hypothesized that there would be a positive correlation between population density and bacterial richness, so as population density increases, the total colony count would increase as well. Again, after analyzing the scatterplot and regression line, the figure/data displayed a negative relationship between total colony count and population density - as the average population increases, the colony count decreases (Figure 7).</w:t>
      </w:r>
    </w:p>
    <w:bookmarkStart w:id="56" w:name="unexpected-results"/>
    <w:p>
      <w:pPr>
        <w:pStyle w:val="Heading2"/>
      </w:pPr>
      <w:r>
        <w:t xml:space="preserve">Unexpected Results</w:t>
      </w:r>
    </w:p>
    <w:p>
      <w:pPr>
        <w:pStyle w:val="FirstParagraph"/>
      </w:pPr>
      <w:r>
        <w:t xml:space="preserve">I was not expecting the above relationship to be completely opposite of my hypotheses but that is exactly what occurred. There were definitely some unexpected plate results when observing the colony plates after their incubation period. Outer Richmond, which is known to be a relatively high-income neighborhood (with an average income of 143,540.22) and thus, I expected a fairly low bacterial richness since I was thinking that in these high-income neighborhoods, there are better and more frequent cleaning services. But, after observing the plate results for the OR restrooms, there was an incredibly high bacterial count, which drastically changed my results. It was fairly foggy and moist during the day of swabbing the bathrooms of OR and the bathroom was located near a large body of water, which could have certainly altered the plate results. In addition, there were individuals that used the bathrooms prior to collecting our swab samples and that is most likely the reason for the incredibly high colony count. Another unexpected set of colony results were the colony plates for MI. MI is known to be a low-income to medium-income neighborhood (with an average income of 108,616), so I expected the bacterial richness to be fairly abundant. After observing colony plates after the incubation period, there weren’t that many colonies as I anticipated. This was a very peculiar case since there were multiple people ahead in line to use the Pit Stop bathroom. So, it is likely that there would be more colonies on the examined MI plates, but exactly the opposite appeared. I speculate that the elderly person prior to me in line thoroughly disinfected the toilet seat and some other objects before using it themselves, resulting in an overall small colony count.</w:t>
      </w:r>
    </w:p>
    <w:p>
      <w:pPr>
        <w:pStyle w:val="BodyText"/>
      </w:pPr>
      <w:r>
        <w:t xml:space="preserve">The relationship between average population density and total colony count is negatively correlated, as the average population increases, the bacterial richness decreases. This was astonishing since places with more human interactions meant more bacterial exchanges, since humans are known to be the primary bacterial vector, serving as a major source of bacteria</w:t>
      </w:r>
      <w:r>
        <w:t xml:space="preserve"> </w:t>
      </w:r>
      <w:r>
        <w:t xml:space="preserve">(Lax et al. 2014, Stephens 2016)</w:t>
      </w:r>
      <w:r>
        <w:t xml:space="preserve">. Neighborhoods like MI contained the highest value of the average population, yet observed a fairly lower value of total colony count compared to neighborhoods like MA - which actually contains the lowest population density out of all the neighborhoods studied. In fact, MI and MA have similar median values despite MA having significantly lower average population value, differing by a value of 1,148. MA is an intriguing neighborhood that produced surprising results.</w:t>
      </w:r>
    </w:p>
    <w:p>
      <w:pPr>
        <w:pStyle w:val="BodyText"/>
      </w:pPr>
      <w:r>
        <w:t xml:space="preserve">MA has both a high average income value and a low average population density value, yet the neighborhood has resulted in one of the most abundant colony counts. This can be due to multiple factors, but some major ones include the bathroom type, weather, and the general area around the location. The bathroom type was not a Pit Stop bathroom, in fact, the MA Pit Stop restroom was not even there to begin with, so we had to settle for a restroom near a park. The weather at the time of sampling MA was foggy and moist, which is optimal for bacterial growth. Lastly, the general vicinity of the bathroom was located near a large body of water and it was right next to an enormous trash dumpster. It is also noteworthy to add that prior to taking samples of the bathroom, there was a homeless person inside the facility and once we were in the middle of our swabbing, a person came in to use the sink as well. I believe that these are the primary reasons for the unexpected results for this specific sampling site.</w:t>
      </w:r>
    </w:p>
    <w:bookmarkEnd w:id="56"/>
    <w:bookmarkStart w:id="57" w:name="sink-samples"/>
    <w:p>
      <w:pPr>
        <w:pStyle w:val="Heading2"/>
      </w:pPr>
      <w:r>
        <w:t xml:space="preserve">Sink Samples</w:t>
      </w:r>
    </w:p>
    <w:p>
      <w:pPr>
        <w:pStyle w:val="FirstParagraph"/>
      </w:pPr>
      <w:r>
        <w:t xml:space="preserve">There was no significant difference between bacterial richness and the various samples on the sink (Figure 3). This is possibly due to the many different shapes of the sink I have sampled. The wash basins in Pit Stop restrooms were consistent with one another, but once compared to public park restrooms, they were completely different. The sinks on public restrooms would often change in design and size, making it difficult to swab consistent areas. The sinks in Pit Stop bathrooms are different compared to the traditional sink format - the facilities contain a small narrow spout, a small basin, and a fairly long arm rest or countertop area. Public restrooms like OR contained a different sink format, most notably the size of the arm rest area - it was significantly shorter in length compared to Pit Stop bathrooms. Furthermore, the material used for the Pit Stop bathroom sinks closely resembles mixed concrete that contains a plethora of small bumps and crevices. Restrooms in OR and MA had sinks that was made up of either smooth ceramic or stainless steel. This considerable difference in material is important since rough materials or surfaces, like in Pit Stop restrooms, can result in prolonged and increased bacterial adhesion</w:t>
      </w:r>
      <w:r>
        <w:t xml:space="preserve"> </w:t>
      </w:r>
      <w:r>
        <w:t xml:space="preserve">(Aykent et al. 2010, Gonzalez et al. 2017)</w:t>
      </w:r>
      <w:r>
        <w:t xml:space="preserve">.</w:t>
      </w:r>
    </w:p>
    <w:p>
      <w:pPr>
        <w:pStyle w:val="BodyText"/>
      </w:pPr>
      <w:r>
        <w:t xml:space="preserve">When Pit Stop bathrooms are automatically sanitized or even when the staff member manually cleans the entire facility, the sink is rarely cleaned. When Pit Stop facilities automatically clean themselves after each use, only the toilet and the floor area is washed with water, this is basically what occurs when the staff member physically cleans the facility as well - the employee only hoses the entire restroom down with water. This results in the Pit Stop sink area becoming a great place to accumulate bacteria due to the sink’s rough/uneven layout. Although the boxplot between the total colony count and the sink locations are statistically insignificant, further sampling should be done for Pit Stop facilities to observe if there are actually any significant results.</w:t>
      </w:r>
    </w:p>
    <w:bookmarkEnd w:id="57"/>
    <w:bookmarkStart w:id="59" w:name="bathroom-concerns"/>
    <w:p>
      <w:pPr>
        <w:pStyle w:val="Heading2"/>
      </w:pPr>
      <w:r>
        <w:t xml:space="preserve">Bathroom Concerns</w:t>
      </w:r>
    </w:p>
    <w:p>
      <w:pPr>
        <w:pStyle w:val="FirstParagraph"/>
      </w:pPr>
      <w:r>
        <w:t xml:space="preserve">I used the public Pit Stop bathroom website (</w:t>
      </w:r>
      <w:hyperlink r:id="rId58">
        <w:r>
          <w:rPr>
            <w:rStyle w:val="Hyperlink"/>
          </w:rPr>
          <w:t xml:space="preserve">https://sfpublicworks.wixsite.com/pitstop</w:t>
        </w:r>
      </w:hyperlink>
      <w:r>
        <w:t xml:space="preserve">) to carefully depict which neighborhoods would contain Pit Stop bathrooms or not. Unfortunately, there were some neighborhoods on the website that stated a Pit Stop bathroom facility, but when arriving at the location, the Pit Stop bathroom facility was not at the stated location nor anywhere nearby. So, I had to adapt and find the nearest public restroom, often residing near a park. Here are some of the Pit Stop bathrooms that were not actually available but are still stated on the website: Bayview-Hunters Point (both Pit Stop bathrooms), Haight (Buena Vista Ave. and Haight.), and Mission (16th and Mission St.).</w:t>
      </w:r>
    </w:p>
    <w:p>
      <w:pPr>
        <w:pStyle w:val="BodyText"/>
      </w:pPr>
      <w:r>
        <w:t xml:space="preserve">I was not able to visit each and every one of the Pit Stop bathrooms stated on their website, but I am sure there are more Pit Stop facilities that are still stated on the site but are not actually there. Despite the misinformation regarding the locations, it is also important to consider the implications that these have on the neighboring communities. The absence of public restrooms promotes public urination and or defecation, which is a public health concern</w:t>
      </w:r>
      <w:r>
        <w:t xml:space="preserve"> </w:t>
      </w:r>
      <w:r>
        <w:t xml:space="preserve">(Moreira et al. 2021)</w:t>
      </w:r>
      <w:r>
        <w:t xml:space="preserve">. Furthermore, the overall distribution of Pit Stop facilities is towards the Civic Center/Tenderloin and Mission area. Although those places are surely a great way to start placing these public restroom units, there should be additional or more evenly distributed locations, so the Pit Stops are not so tightly packed in two neighborhoods. Sanitation facilities improves the overall public space and is a citizen right, especially to individuals like the homeless, street workers, people with disabilities, women/girls, and transgenders</w:t>
      </w:r>
      <w:r>
        <w:t xml:space="preserve"> </w:t>
      </w:r>
      <w:r>
        <w:t xml:space="preserve">(Heller et al. 2019)</w:t>
      </w:r>
      <w:r>
        <w:t xml:space="preserve">.</w:t>
      </w:r>
    </w:p>
    <w:p>
      <w:pPr>
        <w:pStyle w:val="BodyText"/>
      </w:pPr>
      <w:r>
        <w:t xml:space="preserve">The consistency of sampling on or two bathrooms (B1 or B2) also posed some experimental problems. Pit Stop restrooms are one entire unisex unit and they are only accounted for one entire bathroom in my dataset. I made it a goal to sample two Pit Stop restrooms within each neighborhood, but that would be problematic due to distance, time, or the unavailability of the second Pit Stop facility, so I would simply stick to the single Pit Stop facility sampled. Now, if there were not any Pit Stop restrooms, I would proceed to the nearest public park restroom, like stated previously. These public restrooms were not unisex and often had a</w:t>
      </w:r>
      <w:r>
        <w:t xml:space="preserve"> </w:t>
      </w:r>
      <w:r>
        <w:t xml:space="preserve">“</w:t>
      </w:r>
      <w:r>
        <w:t xml:space="preserve">Mens</w:t>
      </w:r>
      <w:r>
        <w:t xml:space="preserve">”</w:t>
      </w:r>
      <w:r>
        <w:t xml:space="preserve"> </w:t>
      </w:r>
      <w:r>
        <w:t xml:space="preserve">and</w:t>
      </w:r>
      <w:r>
        <w:t xml:space="preserve"> </w:t>
      </w:r>
      <w:r>
        <w:t xml:space="preserve">“</w:t>
      </w:r>
      <w:r>
        <w:t xml:space="preserve">Womens</w:t>
      </w:r>
      <w:r>
        <w:t xml:space="preserve">”</w:t>
      </w:r>
      <w:r>
        <w:t xml:space="preserve"> </w:t>
      </w:r>
      <w:r>
        <w:t xml:space="preserve">section, I accounted for each section as their own respective bathroom unit - for example, B1 would be for the Men’s side and B2 would be for the Women’s side. This undoubtedly skewed some results and is more likely the reason why neighborhoods like OR has a similar median value to CC (Figure 2).</w:t>
      </w:r>
    </w:p>
    <w:bookmarkEnd w:id="59"/>
    <w:bookmarkStart w:id="60" w:name="conclusion-and-future-directions"/>
    <w:p>
      <w:pPr>
        <w:pStyle w:val="Heading2"/>
      </w:pPr>
      <w:r>
        <w:t xml:space="preserve">Conclusion and Future Directions</w:t>
      </w:r>
    </w:p>
    <w:p>
      <w:pPr>
        <w:pStyle w:val="FirstParagraph"/>
      </w:pPr>
      <w:r>
        <w:t xml:space="preserve">There is a significant relationship between San Francisco’s average neighorhood income and bacterial richness - as the average neighborhood income increases, bacterial richness increases. The data also displays a correlation between San Francisco’s population density and bacterial richness - as San Francisco’s average population increases, the overall colony count decreases. Additionally, there is a significant relationship throughout the bacterial richness of San Francisco’s various neighborhoods.</w:t>
      </w:r>
    </w:p>
    <w:p>
      <w:pPr>
        <w:pStyle w:val="BodyText"/>
      </w:pPr>
      <w:r>
        <w:t xml:space="preserve">I was limited with the time and sites sampled and I believe comprehensive studies of solely Pit Stop restrooms need to be taken. The study should consist of the number of times the employee physically cleans the bathroom unit, how long they cleaned it, and how they clean the facility. Moreover, more swabs should be performed throughout the facility, but more importantly, the time the unit gets swabbed should be considered and the swabs should be performed throughout the day or at the very least, more than once. By paying more attention to the staff’s cleaning regimen and performing more swab samples more than once per Pit Stop unit, a more accurate illustration of the bacterial richness and abundance of San Francisco’s Pit Stop bathroom will be depicted.</w:t>
      </w:r>
    </w:p>
    <w:p>
      <w:pPr>
        <w:pStyle w:val="BodyText"/>
      </w:pPr>
      <w:r>
        <w:t xml:space="preserve">My main question revolved around the bacterial richness of public tap water of Pit Stop restrooms. However, as I kept taking water samples of the restrooms and plating the same samples, I was unable to get any significant growth for any of my water samples. This was due to how San Francisco’s water is treated with chloramine, which essentially kills bacteria. So, when the water samples are plated and cultured there are little to no results. Knowing this, a better experimental design could have been created to focus on San Francisco’s water quality prior to chloramine treatment or possibly, a study could have been done to examine the water quality through other special instruments like a microscope or pH quality level.</w:t>
      </w:r>
    </w:p>
    <w:bookmarkEnd w:id="60"/>
    <w:bookmarkEnd w:id="61"/>
    <w:bookmarkStart w:id="98" w:name="sources-cited"/>
    <w:p>
      <w:pPr>
        <w:pStyle w:val="Heading1"/>
      </w:pPr>
      <w:r>
        <w:t xml:space="preserve">Sources Cited</w:t>
      </w:r>
    </w:p>
    <w:bookmarkStart w:id="97" w:name="refs"/>
    <w:bookmarkStart w:id="62" w:name="ref-abney2021toilet"/>
    <w:p>
      <w:pPr>
        <w:pStyle w:val="Bibliography"/>
      </w:pPr>
      <w:r>
        <w:t xml:space="preserve">Abney, S. E., K. R. Bright, J. McKinney, M. K. Ijaz, and C. P. Gerba. 2021. Toilet hygiene—review and research needs. Journal of applied microbiology 131:2705–2714.</w:t>
      </w:r>
    </w:p>
    <w:bookmarkEnd w:id="62"/>
    <w:bookmarkStart w:id="63" w:name="ref-allaire2018national"/>
    <w:p>
      <w:pPr>
        <w:pStyle w:val="Bibliography"/>
      </w:pPr>
      <w:r>
        <w:t xml:space="preserve">Allaire, M., H. Wu, and U. Lall. 2018. National trends in drinking water quality violations. Proceedings of the National Academy of Sciences 115:2078–2083.</w:t>
      </w:r>
    </w:p>
    <w:bookmarkEnd w:id="63"/>
    <w:bookmarkStart w:id="64" w:name="ref-amin2019quantitative"/>
    <w:p>
      <w:pPr>
        <w:pStyle w:val="Bibliography"/>
      </w:pPr>
      <w:r>
        <w:t xml:space="preserve">Amin, N., M. Rahman, S. Raj, S. Ali, J. Green, S. Das, S. Doza, M. H. Mondol, Y. Wang, M. A. Islam, and others. 2019. Quantitative assessment of fecal contamination in multiple environmental sample types in urban communities in dhaka, bangladesh using SaniPath microbial approach. PLoS One 14:e0221193.</w:t>
      </w:r>
    </w:p>
    <w:bookmarkEnd w:id="64"/>
    <w:bookmarkStart w:id="65" w:name="ref-aykent2010effect"/>
    <w:p>
      <w:pPr>
        <w:pStyle w:val="Bibliography"/>
      </w:pPr>
      <w:r>
        <w:t xml:space="preserve">Aykent, F., I. Yondem, A. G. Ozyesil, S. K. Gunal, M. C. Avunduk, and S. Ozkan. 2010. Effect of different finishing techniques for restorative materials on surface roughness and bacterial adhesion. The Journal of prosthetic dentistry 103:221–227.</w:t>
      </w:r>
    </w:p>
    <w:bookmarkEnd w:id="65"/>
    <w:bookmarkStart w:id="66"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66"/>
    <w:bookmarkStart w:id="68" w:name="ref-doi:10.2105/AJPH.2013.301664"/>
    <w:p>
      <w:pPr>
        <w:pStyle w:val="Bibliography"/>
      </w:pPr>
      <w:r>
        <w:t xml:space="preserve">Balazs, C. L., and I. Ray. 2014.</w:t>
      </w:r>
      <w:r>
        <w:t xml:space="preserve"> </w:t>
      </w:r>
      <w:hyperlink r:id="rId67">
        <w:r>
          <w:rPr>
            <w:rStyle w:val="Hyperlink"/>
          </w:rPr>
          <w:t xml:space="preserve">The drinking water disparities framework: On the origins and persistence of inequities in exposure</w:t>
        </w:r>
      </w:hyperlink>
      <w:r>
        <w:t xml:space="preserve">. American Journal of Public Health 104:603–611.</w:t>
      </w:r>
    </w:p>
    <w:bookmarkEnd w:id="68"/>
    <w:bookmarkStart w:id="69" w:name="ref-gonzalez2017designing"/>
    <w:p>
      <w:pPr>
        <w:pStyle w:val="Bibliography"/>
      </w:pPr>
      <w:r>
        <w:t xml:space="preserve">Gonzalez, E. A., P. Nandy, A. D. Lucas, and V. M. Hitchins. 2017. Designing for cleanability: The effects of material, surface roughness, and the presence of blood test soil and bacteria on devices. American Journal of Infection Control 45:194–196.</w:t>
      </w:r>
    </w:p>
    <w:bookmarkEnd w:id="69"/>
    <w:bookmarkStart w:id="70" w:name="ref-heller2019human"/>
    <w:p>
      <w:pPr>
        <w:pStyle w:val="Bibliography"/>
      </w:pPr>
      <w:r>
        <w:t xml:space="preserve">Heller, L., and others. 2019. Human rights to water and sanitation in spheres of life beyond the household with an emphasis on public spaces: Report of the special rapporteur on the human rights to safe drinking water and sanitation.</w:t>
      </w:r>
    </w:p>
    <w:bookmarkEnd w:id="70"/>
    <w:bookmarkStart w:id="71" w:name="ref-kramer2006long"/>
    <w:p>
      <w:pPr>
        <w:pStyle w:val="Bibliography"/>
      </w:pPr>
      <w:r>
        <w:t xml:space="preserve">Kramer, A., I. Schwebke, and G. Kampf. 2006. How long do nosocomial pathogens persist on inanimate surfaces? A systematic review. BMC infectious diseases 6:1–8.</w:t>
      </w:r>
    </w:p>
    <w:bookmarkEnd w:id="71"/>
    <w:bookmarkStart w:id="72" w:name="ref-lax2014longitudinal"/>
    <w:p>
      <w:pPr>
        <w:pStyle w:val="Bibliography"/>
      </w:pPr>
      <w:r>
        <w:t xml:space="preserve">Lax, S., D. P. Smith, J. Hampton-Marcell, S. M. Owens, K. M. Handley, N. M. Scott, S. M. Gibbons, P. Larsen, B. D. Shogan, S. Weiss, and others. 2014. Longitudinal analysis of microbial interaction between humans and the indoor environment. Science 345:1048–1052.</w:t>
      </w:r>
    </w:p>
    <w:bookmarkEnd w:id="72"/>
    <w:bookmarkStart w:id="73" w:name="ref-matini2020survey"/>
    <w:p>
      <w:pPr>
        <w:pStyle w:val="Bibliography"/>
      </w:pPr>
      <w:r>
        <w:t xml:space="preserve">Matini, E., F. Shayeghi, M. E. Vaghar, J. Nematian, S. S. Hosseini, N. Mojri, N. T. Taherabadi, R. Hakimi, N. Ahmadi, N. Badkoubeh, and others. 2020. A survey of public restrooms microbial contamination in tehran city, capital of iran, during 2019. Journal of Family Medicine and Primary Care 9:3131.</w:t>
      </w:r>
    </w:p>
    <w:bookmarkEnd w:id="73"/>
    <w:bookmarkStart w:id="74" w:name="ref-mcdonald2018drinking"/>
    <w:p>
      <w:pPr>
        <w:pStyle w:val="Bibliography"/>
      </w:pPr>
      <w:r>
        <w:t xml:space="preserve">McDonald, Y. J., and N. E. Jones. 2018. Drinking water violations and environmental justice in the united states, 2011–2015. American Journal of Public Health 108:1401–1407.</w:t>
      </w:r>
    </w:p>
    <w:bookmarkEnd w:id="74"/>
    <w:bookmarkStart w:id="75" w:name="ref-moreira2021street"/>
    <w:p>
      <w:pPr>
        <w:pStyle w:val="Bibliography"/>
      </w:pPr>
      <w:r>
        <w:t xml:space="preserve">Moreira, F. D., S. Rezende, and F. Passos. 2021. On-street toilets for sanitation access in urban public spaces: A systematic review. Utilities Policy 70:101186.</w:t>
      </w:r>
    </w:p>
    <w:bookmarkEnd w:id="75"/>
    <w:bookmarkStart w:id="77" w:name="ref-OTTER2013S6"/>
    <w:p>
      <w:pPr>
        <w:pStyle w:val="Bibliography"/>
      </w:pPr>
      <w:r>
        <w:t xml:space="preserve">Otter, J. A., S. Yezli, J. A. G. Salkeld, and G. L. French. 2013.</w:t>
      </w:r>
      <w:r>
        <w:t xml:space="preserve"> </w:t>
      </w:r>
      <w:hyperlink r:id="rId76">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77"/>
    <w:bookmarkStart w:id="79" w:name="ref-doi:10.2105/AJPH.2021.306561"/>
    <w:p>
      <w:pPr>
        <w:pStyle w:val="Bibliography"/>
      </w:pPr>
      <w:r>
        <w:t xml:space="preserve">Pace, C., C. Balazs, K. Bangia, N. Depsky, A. Renteria, R. Morello-Frosch, and L. J. Cushing. 2022.</w:t>
      </w:r>
      <w:r>
        <w:t xml:space="preserve"> </w:t>
      </w:r>
      <w:hyperlink r:id="rId78">
        <w:r>
          <w:rPr>
            <w:rStyle w:val="Hyperlink"/>
          </w:rPr>
          <w:t xml:space="preserve">Inequities in drinking water quality among domestic well communities and community water systems, california, 2011‒2019</w:t>
        </w:r>
      </w:hyperlink>
      <w:r>
        <w:t xml:space="preserve">. American Journal of Public Health 112:88–97.</w:t>
      </w:r>
    </w:p>
    <w:bookmarkEnd w:id="79"/>
    <w:bookmarkStart w:id="81" w:name="ref-Rpackage"/>
    <w:p>
      <w:pPr>
        <w:pStyle w:val="Bibliography"/>
      </w:pPr>
      <w:r>
        <w:t xml:space="preserve">R Core Team. 2021.</w:t>
      </w:r>
      <w:r>
        <w:t xml:space="preserve"> </w:t>
      </w:r>
      <w:hyperlink r:id="rId80">
        <w:r>
          <w:rPr>
            <w:rStyle w:val="Hyperlink"/>
          </w:rPr>
          <w:t xml:space="preserve">R: A language and environment for statistical computing</w:t>
        </w:r>
      </w:hyperlink>
      <w:r>
        <w:t xml:space="preserve">. R Foundation for Statistical Computing, Vienna, Austria.</w:t>
      </w:r>
    </w:p>
    <w:bookmarkEnd w:id="81"/>
    <w:bookmarkStart w:id="82" w:name="ref-reese2018does"/>
    <w:p>
      <w:pPr>
        <w:pStyle w:val="Bibliography"/>
      </w:pPr>
      <w:r>
        <w:t xml:space="preserve">Reese, P. 2018. Does your water district fail to comply with drinking water standards. Sacramento Bee.</w:t>
      </w:r>
    </w:p>
    <w:bookmarkEnd w:id="82"/>
    <w:bookmarkStart w:id="84" w:name="ref-8847909620130301"/>
    <w:p>
      <w:pPr>
        <w:pStyle w:val="Bibliography"/>
      </w:pPr>
      <w:r>
        <w:t xml:space="preserve">Rubin, S. J. 2013.</w:t>
      </w:r>
      <w:r>
        <w:t xml:space="preserve"> </w:t>
      </w:r>
      <w:hyperlink r:id="rId83">
        <w:r>
          <w:rPr>
            <w:rStyle w:val="Hyperlink"/>
          </w:rPr>
          <w:t xml:space="preserve">Evaluating violations of drinking water regulations.</w:t>
        </w:r>
      </w:hyperlink>
      <w:r>
        <w:t xml:space="preserve"> Journal: American Water Works Association 105:E137–E147.</w:t>
      </w:r>
    </w:p>
    <w:bookmarkEnd w:id="84"/>
    <w:bookmarkStart w:id="86" w:name="ref-STANWELLSMITH2010613"/>
    <w:p>
      <w:pPr>
        <w:pStyle w:val="Bibliography"/>
      </w:pPr>
      <w:r>
        <w:t xml:space="preserve">Stanwell-Smith, R. 2010.</w:t>
      </w:r>
      <w:r>
        <w:t xml:space="preserve"> </w:t>
      </w:r>
      <w:hyperlink r:id="rId85">
        <w:r>
          <w:rPr>
            <w:rStyle w:val="Hyperlink"/>
          </w:rPr>
          <w:t xml:space="preserve">Public toilets down the drain? Why privies are a public health concern</w:t>
        </w:r>
      </w:hyperlink>
      <w:r>
        <w:t xml:space="preserve">. Public Health 124:613–616.</w:t>
      </w:r>
    </w:p>
    <w:bookmarkEnd w:id="86"/>
    <w:bookmarkStart w:id="87" w:name="ref-stephens2016have"/>
    <w:p>
      <w:pPr>
        <w:pStyle w:val="Bibliography"/>
      </w:pPr>
      <w:r>
        <w:t xml:space="preserve">Stephens, B. 2016. What have we learned about the microbiomes of indoor environments? MSystems 1:e00083–16.</w:t>
      </w:r>
    </w:p>
    <w:bookmarkEnd w:id="87"/>
    <w:bookmarkStart w:id="88" w:name="ref-stillo2017exposure"/>
    <w:p>
      <w:pPr>
        <w:pStyle w:val="Bibliography"/>
      </w:pPr>
      <w:r>
        <w:t xml:space="preserve">Stillo, F., and J. MacDonald Gibson. 2017. Exposure to contaminated drinking water and health disparities in north carolina. American Journal of Public Health 107:180–185.</w:t>
      </w:r>
    </w:p>
    <w:bookmarkEnd w:id="88"/>
    <w:bookmarkStart w:id="89"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89"/>
    <w:bookmarkStart w:id="91" w:name="ref-tidycensus"/>
    <w:p>
      <w:pPr>
        <w:pStyle w:val="Bibliography"/>
      </w:pPr>
      <w:r>
        <w:t xml:space="preserve">Walker, K., and M. Herman. 2022.</w:t>
      </w:r>
      <w:r>
        <w:t xml:space="preserve"> </w:t>
      </w:r>
      <w:hyperlink r:id="rId90">
        <w:r>
          <w:rPr>
            <w:rStyle w:val="Hyperlink"/>
          </w:rPr>
          <w:t xml:space="preserve">Tidycensus: Load US census boundary and attribute data as ’tidyverse’ and ’sf’-ready data frames</w:t>
        </w:r>
      </w:hyperlink>
      <w:r>
        <w:t xml:space="preserve">.</w:t>
      </w:r>
    </w:p>
    <w:bookmarkEnd w:id="91"/>
    <w:bookmarkStart w:id="93" w:name="ref-ggplot2"/>
    <w:p>
      <w:pPr>
        <w:pStyle w:val="Bibliography"/>
      </w:pPr>
      <w:r>
        <w:t xml:space="preserve">Wickham, H. 2016.</w:t>
      </w:r>
      <w:r>
        <w:t xml:space="preserve"> </w:t>
      </w:r>
      <w:hyperlink r:id="rId92">
        <w:r>
          <w:rPr>
            <w:rStyle w:val="Hyperlink"/>
          </w:rPr>
          <w:t xml:space="preserve">ggplot2: Elegant graphics for data analysis</w:t>
        </w:r>
      </w:hyperlink>
      <w:r>
        <w:t xml:space="preserve">. Springer-Verlag New York.</w:t>
      </w:r>
    </w:p>
    <w:bookmarkEnd w:id="93"/>
    <w:bookmarkStart w:id="95" w:name="ref-dplyr"/>
    <w:p>
      <w:pPr>
        <w:pStyle w:val="Bibliography"/>
      </w:pPr>
      <w:r>
        <w:t xml:space="preserve">Wickham, H., R. François, L. Henry, and K. Müller. 2022.</w:t>
      </w:r>
      <w:r>
        <w:t xml:space="preserve"> </w:t>
      </w:r>
      <w:hyperlink r:id="rId94">
        <w:r>
          <w:rPr>
            <w:rStyle w:val="Hyperlink"/>
          </w:rPr>
          <w:t xml:space="preserve">Dplyr: A grammar of data manipulation</w:t>
        </w:r>
      </w:hyperlink>
      <w:r>
        <w:t xml:space="preserve">.</w:t>
      </w:r>
    </w:p>
    <w:bookmarkEnd w:id="95"/>
    <w:bookmarkStart w:id="96" w:name="ref-PitStop"/>
    <w:p>
      <w:pPr>
        <w:pStyle w:val="Bibliography"/>
      </w:pPr>
      <w:r>
        <w:t xml:space="preserve">Works, S. F. P. 2014. San francisco pit stop.</w:t>
      </w:r>
    </w:p>
    <w:bookmarkEnd w:id="96"/>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hyperlink" Id="rId94" Target="https://CRAN.R-project.org/package=dplyr" TargetMode="External" /><Relationship Type="http://schemas.openxmlformats.org/officeDocument/2006/relationships/hyperlink" Id="rId90"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6" Target="https://doi.org/10.1016/j.ajic.2012.12.004" TargetMode="External" /><Relationship Type="http://schemas.openxmlformats.org/officeDocument/2006/relationships/hyperlink" Id="rId85" Target="https://doi.org/10.1016/j.puhe.2010.07.002" TargetMode="External" /><Relationship Type="http://schemas.openxmlformats.org/officeDocument/2006/relationships/hyperlink" Id="rId67" Target="https://doi.org/10.2105/AJPH.2013.301664" TargetMode="External" /><Relationship Type="http://schemas.openxmlformats.org/officeDocument/2006/relationships/hyperlink" Id="rId78" Target="https://doi.org/10.2105/AJPH.2021.306561" TargetMode="External" /><Relationship Type="http://schemas.openxmlformats.org/officeDocument/2006/relationships/hyperlink" Id="rId92" Target="https://ggplot2.tidyverse.org" TargetMode="External" /><Relationship Type="http://schemas.openxmlformats.org/officeDocument/2006/relationships/hyperlink" Id="rId83"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0" Target="https://www.R-project.org/"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94" Target="https://CRAN.R-project.org/package=dplyr" TargetMode="External" /><Relationship Type="http://schemas.openxmlformats.org/officeDocument/2006/relationships/hyperlink" Id="rId90"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6" Target="https://doi.org/10.1016/j.ajic.2012.12.004" TargetMode="External" /><Relationship Type="http://schemas.openxmlformats.org/officeDocument/2006/relationships/hyperlink" Id="rId85" Target="https://doi.org/10.1016/j.puhe.2010.07.002" TargetMode="External" /><Relationship Type="http://schemas.openxmlformats.org/officeDocument/2006/relationships/hyperlink" Id="rId67" Target="https://doi.org/10.2105/AJPH.2013.301664" TargetMode="External" /><Relationship Type="http://schemas.openxmlformats.org/officeDocument/2006/relationships/hyperlink" Id="rId78" Target="https://doi.org/10.2105/AJPH.2021.306561" TargetMode="External" /><Relationship Type="http://schemas.openxmlformats.org/officeDocument/2006/relationships/hyperlink" Id="rId92" Target="https://ggplot2.tidyverse.org" TargetMode="External" /><Relationship Type="http://schemas.openxmlformats.org/officeDocument/2006/relationships/hyperlink" Id="rId83" Target="https://search.ebscohost.com/login.aspx?direct=true&amp;AuthType=shib&amp;db=egs&amp;AN=88479096&amp;authtype=shib&amp;site=ehost-live&amp;scope=site&amp;custid=s3818721" TargetMode="External" /><Relationship Type="http://schemas.openxmlformats.org/officeDocument/2006/relationships/hyperlink" Id="rId58" Target="https://sfpublicworks.wixsite.com/pitstop" TargetMode="External" /><Relationship Type="http://schemas.openxmlformats.org/officeDocument/2006/relationships/hyperlink" Id="rId80" Target="https://www.R-project.org/"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dc:title>
  <dc:creator>Andrae Ladores</dc:creator>
  <cp:keywords/>
  <dcterms:created xsi:type="dcterms:W3CDTF">2022-05-14T01:24:52Z</dcterms:created>
  <dcterms:modified xsi:type="dcterms:W3CDTF">2022-05-14T01:24:52Z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9, 2022</vt:lpwstr>
  </property>
  <property fmtid="{D5CDD505-2E9C-101B-9397-08002B2CF9AE}" pid="5" name="output">
    <vt:lpwstr>word_document</vt:lpwstr>
  </property>
</Properties>
</file>