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CNS Population Pharmacokinetic Analysis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2C3E50"/>
          <w:sz w:val="32"/>
          <w:szCs w:val="32"/>
        </w:rPr>
        <w:t xml:space="preserve">Two-Compartment Oral PopPK Model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Hypothetical CNS Agent  |  Simulated Dataset  |  N = 120 Subjects</w:t>
      </w:r>
    </w:p>
    <w:p>
      <w:pPr>
        <w:spacing w:before="0" w:after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Name | Pharmacometrician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 · nlmixr2 · ggplot2 · tidyverse · vpc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Portfolio / Educational Project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498DB" w:sz="4"/>
              <w:left w:val="thick" w:color="3498DB" w:sz="12"/>
              <w:bottom w:val="single" w:color="3498DB" w:sz="4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Objective: Develop and qualify a population PK (PopPK) model for a hypothetical CNS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agent using simulated Phase I/II data across three dose levels (25 / 50 / 100 mg).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Key Finding: A two-compartment oral model with allometric weight scaling, sex effect,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and renal function effect adequately described the data with good predictive performance.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population pharmacokinetic analysis was conducted on data from 120 subjects enrolled across three oral dose groups. Concentration–time data were modelled using nonlinear mixed-effects (NLME) methods implemented in nlmixr2 (FOCEI estimation).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527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 Study Design &amp; Dataset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2.1 Design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Drug Type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Small-molecule CNS agent (hypothetical oral anxiolytic/antidepressant)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Dose Levels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 mg, 50 mg, 100 mg (N=40 per group)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Sparse PK sampling — 9 timepoints: 0, 0.5, 1, 2, 4, 6, 8, 12, 24 hr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Subjects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 = 120 subjects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Observations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959 non-BLQ observations (BLQ rate = 7.8%)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LLOQ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ng/mL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Simulated (educational/portfolio purposes)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2.2 Demographics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25 mg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 mg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 mg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 kg [IQR]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70.1 [63–79]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72.4 [65–81]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71.8 [64–80]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 yr [IQR]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 [31–55]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 [33–57]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 [30–54]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Female n (%)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 (55%)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 (53%)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 (58%)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eGFR [IQR]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 [74–97]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84 [73–95]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 [75–96]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 Pharmacokinetic Model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3.1 Structural Model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two-compartment model with first-order oral absorption was selected as the structural model. This was supported by visual inspection of individual PK profiles showing biexponential decline and a significant improvement in OFV over a one-compartment model (ΔOFV = 42.3, p &lt; 0.001).</w:t>
      </w:r>
    </w:p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Model implementation: nlmixr2 (R package) using the linCmt() analytical two-compartment solver with FOCEI estimation.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3.2 Random Effects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Interindividual variability (IIV): Exponential model — θᵢ = θₚₒₚ · exp(ηᵢ), ηᵢ ~ N(0, ω²)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Residual unexplained variability (RUV): Combined proportional + additive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BLQ handling: M3 method (censored likelihood)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3.3 Covariate Model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Covariate selection used a stepwise approach guided by EDA eta–covariate scatter plots, biological plausibility, and statistical criteria (forward: ΔOFV &gt; 3.84; backward: ΔOFV &gt; 6.63).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Weight → CL: Allometric scaling (WT/70)^0.75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Weight → V1: Allometric scaling (WT/70)^1.00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eGFR → CL: Power model (eGFR/85)^0.30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Sex → CL: Additive on log-scale (θ_SEX × SEX); Female −20% vs Male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 Results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4.1 Parameter Estimates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000"/>
        <w:gridCol w:w="1880"/>
        <w:gridCol w:w="1880"/>
      </w:tblGrid>
      <w:tr>
        <w:trPr>
          <w:tblHeader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RSE %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95% CI Low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95% CI High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── Fixed Effects ──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 (L/hr)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8.50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7.63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9.37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 (L)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45.0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7.8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38.5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51.5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 (L/hr)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4.20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3.21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5.19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 (L)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80.0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14.3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57.6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102.4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 (1/hr)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9.6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1.45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── Covariate Effects ──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WT exponent on CL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0.89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WT exponent on V1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0.78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1.22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eGFR exponent on CL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14.7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0.17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0.43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SEX on CL (Female)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−0.20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−0.32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−0.08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── IIV (ω²) ──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ω² CL  (28% CV)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0.078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22.1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0.047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0.109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ω² V1  (32% CV)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0.102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24.5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0.058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0.146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ω² Ka  (45% CV)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0.202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28.7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0.109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0.295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── Residual Error ──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σ_prop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0.09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σ_add (ng/mL)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19.6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2.09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RSE = Relative Standard Error | CI = Confidence Interval from bootstrap (500 runs)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4.2 Model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80"/>
        <w:gridCol w:w="1440"/>
        <w:gridCol w:w="1440"/>
        <w:gridCol w:w="1200"/>
        <w:gridCol w:w="1000"/>
      </w:tblGrid>
      <w:tr>
        <w:trPr>
          <w:tblHeader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OFV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AIC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ΔOFV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p-val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1-CMT Base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5821.4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5837.4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127.1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&lt;0.001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2-CMT Base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5779.1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5801.1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84.8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&lt;0.001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2-CMT + Covariates ✓ FINAL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5694.3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5724.3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 Key Plots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5.1 Individual PK Profiles</w:t>
      </w:r>
    </w:p>
    <w:p>
      <w:pPr>
        <w:spacing w:before="120" w:after="80"/>
        <w:jc w:val="center"/>
      </w:pPr>
      <w:r>
        <w:drawing>
          <wp:inline distT="0" distB="0" distL="0" distR="0">
            <wp:extent cx="5524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1. Spaghetti plot of individual PK profiles by dose group. Bold line = median. Log10 Y-axis.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5.2 Covariate–Clearance Relationships</w:t>
      </w:r>
    </w:p>
    <w:p>
      <w:pPr>
        <w:spacing w:before="120" w:after="80"/>
        <w:jc w:val="center"/>
      </w:pPr>
      <w:r>
        <w:drawing>
          <wp:inline distT="0" distB="0" distL="0" distR="0">
            <wp:extent cx="5524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2. Scatter plots of key covariates vs. individual clearance with linear regression overlay.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5.3 Goodness-of-Fit Diagnostics</w:t>
      </w:r>
    </w:p>
    <w:p>
      <w:pPr>
        <w:spacing w:before="120" w:after="80"/>
        <w:jc w:val="center"/>
      </w:pPr>
      <w:r>
        <w:drawing>
          <wp:inline distT="0" distB="0" distL="0" distR="0">
            <wp:extent cx="5524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3. GoF plots: DV vs. IPRED (left) and CWRES vs. Time (right). Red dotted lines = ±2 CWRES.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5.4 Visual Predictive Check (VPC)</w:t>
      </w:r>
    </w:p>
    <w:p>
      <w:pPr>
        <w:spacing w:before="120" w:after="80"/>
        <w:jc w:val="center"/>
      </w:pPr>
      <w:r>
        <w:drawing>
          <wp:inline distT="0" distB="0" distL="0" distR="0">
            <wp:extent cx="5524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4. VPC stratified by dose group. Shaded area = 90% prediction interval. Lines = observed/simulated medians.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5.5 Covariate Forest Plot</w:t>
      </w:r>
    </w:p>
    <w:p>
      <w:pPr>
        <w:spacing w:before="120" w:after="80"/>
        <w:jc w:val="center"/>
      </w:pPr>
      <w:r>
        <w:drawing>
          <wp:inline distT="0" distB="0" distL="0" distR="0">
            <wp:extent cx="5143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5. Forest plot of covariate effect estimates with 95% confidence intervals.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5.6 Dose–Exposure Simulation</w:t>
      </w:r>
    </w:p>
    <w:p>
      <w:pPr>
        <w:spacing w:before="120" w:after="80"/>
        <w:jc w:val="center"/>
      </w:pPr>
      <w:r>
        <w:drawing>
          <wp:inline distT="0" distB="0" distL="0" distR="0">
            <wp:extent cx="5524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6. Simulated dose–exposure (Cmax) across the dose range. N=300 virtual subjects per dose level.</w:t>
      </w: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 Conclusions &amp; Clinical Implications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6.1 Model Summary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Structural model: Two-compartment oral, first-order absorption (Ka = 1.20 hr⁻¹)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Population CL: 8.50 L/hr (RSE 5.2%) — well-estimated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Population V1: 45.0 L (RSE 7.8%)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Substantial IIV: CL 28%, V1 32%, Ka 45% — typical for a CNS drug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Significant covariates: Weight (CL, V1), eGFR (CL), Sex (CL)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Adequate model fit confirmed by VPC, CWRES diagnostics, and bootstrap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6.2 Dosing Implications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Population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 Change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WT = 100 kg vs 70 kg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+27%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Consider 100 mg starting dose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eGFR 30–45 (mod. impairment)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−30%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 dose by 25–30%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Female vs Male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−18%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Monitor; dose adjustment not required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 &gt; 70 years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−24%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Conservative dosing recommended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6.3 Limitations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Simulated dataset — real-world data may show additional variability 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Single-dose study — steady-state accumulation not characterized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PK/PD relationship modeled — separate analysis recommended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Absorption lag time not tested in this iteration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A527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 Software &amp;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4.3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Statistical computing environment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nlmixr2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2.0.9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PopPK NLME modeling (FOCEI estimation)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ggplot2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3.5.0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Publication-quality visualizations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tidyverse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2.0.0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manipulation and wrangling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vpc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1.3.0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 predictive check (VPC) with LLOQ handling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xpose / xpose.nlmixr2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0.4.14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Diagnostic plots and xpose-compatible output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patchwork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1.2.0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Multi-panel plot composition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Correlated random effects (mvrnorm)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Estimation: FOCEI | Covariate selection: Forward (p&lt;0.05) + Backward (p&lt;0.01) | Evaluation: VPC (500 sim), Bootstrap (500 runs)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498DB" w:sz="4"/>
              <w:left w:val="thick" w:color="3498DB" w:sz="12"/>
              <w:bottom w:val="single" w:color="3498DB" w:sz="4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Disclaimer: This project uses a fully simulated dataset for educational and portfolio purposes.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All PK parameters, patient demographics, and model outputs are illustrative only.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This does not represent a real clinical drug development program.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0" w:after="0"/>
    </w:pPr>
    <w:r>
      <w:rPr>
        <w:rFonts w:ascii="Arial" w:cs="Arial" w:eastAsia="Arial" w:hAnsi="Arial"/>
        <w:color w:val="888888"/>
        <w:sz w:val="18"/>
        <w:szCs w:val="18"/>
      </w:rPr>
      <w:t xml:space="preserve">For educational / portfolio purposes only  |  </w:t>
    </w:r>
    <w:r>
      <w:rPr>
        <w:rFonts w:ascii="Arial" w:cs="Arial" w:eastAsia="Arial" w:hAnsi="Arial"/>
        <w:color w:val="888888"/>
        <w:sz w:val="18"/>
        <w:szCs w:val="18"/>
      </w:rPr>
      <w:t xml:space="preserve">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6" w:space="1"/>
      </w:pBdr>
      <w:spacing w:before="0" w:after="0"/>
    </w:pPr>
    <w:r>
      <w:rPr>
        <w:rFonts w:ascii="Arial" w:cs="Arial" w:eastAsia="Arial" w:hAnsi="Arial"/>
        <w:b/>
        <w:bCs/>
        <w:color w:val="1A5276"/>
        <w:sz w:val="20"/>
        <w:szCs w:val="20"/>
      </w:rPr>
      <w:t xml:space="preserve">CNS Population PK Analysis</w:t>
    </w:r>
    <w:r>
      <w:rPr>
        <w:rFonts w:ascii="Arial" w:cs="Arial" w:eastAsia="Arial" w:hAnsi="Arial"/>
        <w:color w:val="888888"/>
        <w:sz w:val="18"/>
        <w:szCs w:val="18"/>
      </w:rPr>
      <w:t xml:space="preserve">  |  Hypothetical CNS Agent  |  Simulated Dataset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e17186bf405516748bfefb2dc14345142ea4b286.png"/><Relationship Id="rId9" Type="http://schemas.openxmlformats.org/officeDocument/2006/relationships/image" Target="media/d7fc84f633a55dbe0dd04683edccf13b558af831.png"/><Relationship Id="rId10" Type="http://schemas.openxmlformats.org/officeDocument/2006/relationships/image" Target="media/9190a1971564f49942cf5523be24464b1963d06a.png"/><Relationship Id="rId11" Type="http://schemas.openxmlformats.org/officeDocument/2006/relationships/image" Target="media/c9504c24fd515404b3f6d8020cb1822f0947c58f.png"/><Relationship Id="rId12" Type="http://schemas.openxmlformats.org/officeDocument/2006/relationships/image" Target="media/144e1fdc7835277e5935324e0f47327736cebbbb.png"/><Relationship Id="rId13" Type="http://schemas.openxmlformats.org/officeDocument/2006/relationships/image" Target="media/e0d916591676860b06d7e664d885110a9cc9ec29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2026-03-27T06:12:25.509Z</dcterms:created>
  <dcterms:modified xsi:type="dcterms:W3CDTF">2026-03-27T06:12:25.510Z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