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fzg2r2xcavnw" w:id="0"/>
      <w:bookmarkEnd w:id="0"/>
      <w:r w:rsidDel="00000000" w:rsidR="00000000" w:rsidRPr="00000000">
        <w:rPr>
          <w:rFonts w:ascii="Google Sans" w:cs="Google Sans" w:eastAsia="Google Sans" w:hAnsi="Google Sans"/>
          <w:b w:val="1"/>
          <w:color w:val="000000"/>
          <w:sz w:val="22"/>
          <w:szCs w:val="22"/>
          <w:rtl w:val="0"/>
        </w:rPr>
        <w:t xml:space="preserve">Purpose &amp; Goals</w:t>
      </w:r>
    </w:p>
    <w:p w:rsidR="00000000" w:rsidDel="00000000" w:rsidP="00000000" w:rsidRDefault="00000000" w:rsidRPr="00000000" w14:paraId="00000002">
      <w:pPr>
        <w:widowControl w:val="0"/>
        <w:numPr>
          <w:ilvl w:val="0"/>
          <w:numId w:val="7"/>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platform's drone imagery ingestion module must be built to comply with the DGCA's regulatory framework, ensuring all drone operations are based on trust, self-certification, and non-intrusive monitoring. (Source:</w:t>
      </w:r>
      <w:hyperlink r:id="rId6">
        <w:r w:rsidDel="00000000" w:rsidR="00000000" w:rsidRPr="00000000">
          <w:rPr>
            <w:rFonts w:ascii="Google Sans" w:cs="Google Sans" w:eastAsia="Google Sans" w:hAnsi="Google Sans"/>
            <w:sz w:val="24"/>
            <w:szCs w:val="24"/>
            <w:rtl w:val="0"/>
          </w:rPr>
          <w:t xml:space="preserve"> </w:t>
        </w:r>
      </w:hyperlink>
      <w:hyperlink r:id="rId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facilitate the use of drones in emergency response, the platform must integrate with the DigitalSky single-window system to programmatically verify permissions and log flight plans for all connected drones. (Source:</w:t>
      </w:r>
      <w:hyperlink r:id="rId8">
        <w:r w:rsidDel="00000000" w:rsidR="00000000" w:rsidRPr="00000000">
          <w:rPr>
            <w:rFonts w:ascii="Google Sans" w:cs="Google Sans" w:eastAsia="Google Sans" w:hAnsi="Google Sans"/>
            <w:sz w:val="24"/>
            <w:szCs w:val="24"/>
            <w:rtl w:val="0"/>
          </w:rPr>
          <w:t xml:space="preserve"> </w:t>
        </w:r>
      </w:hyperlink>
      <w:hyperlink r:id="rId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4">
      <w:pPr>
        <w:widowControl w:val="0"/>
        <w:numPr>
          <w:ilvl w:val="0"/>
          <w:numId w:val="7"/>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platform's shared map UI must clearly display DGCA-defined airspace restrictions (Red, Yellow, and Green zones) to ensure the safety and security of all drone imagery collection operations. (Source:</w:t>
      </w:r>
      <w:hyperlink r:id="rId10">
        <w:r w:rsidDel="00000000" w:rsidR="00000000" w:rsidRPr="00000000">
          <w:rPr>
            <w:rFonts w:ascii="Google Sans" w:cs="Google Sans" w:eastAsia="Google Sans" w:hAnsi="Google Sans"/>
            <w:sz w:val="24"/>
            <w:szCs w:val="24"/>
            <w:rtl w:val="0"/>
          </w:rPr>
          <w:t xml:space="preserve"> </w:t>
        </w:r>
      </w:hyperlink>
      <w:hyperlink r:id="rId1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gf2e6jxq5kwa" w:id="1"/>
      <w:bookmarkEnd w:id="1"/>
      <w:r w:rsidDel="00000000" w:rsidR="00000000" w:rsidRPr="00000000">
        <w:rPr>
          <w:rFonts w:ascii="Google Sans" w:cs="Google Sans" w:eastAsia="Google Sans" w:hAnsi="Google Sans"/>
          <w:b w:val="1"/>
          <w:color w:val="000000"/>
          <w:sz w:val="22"/>
          <w:szCs w:val="22"/>
          <w:rtl w:val="0"/>
        </w:rPr>
        <w:t xml:space="preserve">Stakeholders &amp; Roles</w:t>
      </w:r>
    </w:p>
    <w:p w:rsidR="00000000" w:rsidDel="00000000" w:rsidP="00000000" w:rsidRDefault="00000000" w:rsidRPr="00000000" w14:paraId="00000006">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System Administrator:</w:t>
      </w:r>
      <w:r w:rsidDel="00000000" w:rsidR="00000000" w:rsidRPr="00000000">
        <w:rPr>
          <w:rFonts w:ascii="Google Sans" w:cs="Google Sans" w:eastAsia="Google Sans" w:hAnsi="Google Sans"/>
          <w:sz w:val="24"/>
          <w:szCs w:val="24"/>
          <w:rtl w:val="0"/>
        </w:rPr>
        <w:t xml:space="preserve"> This platform role will be responsible for configuring DGCA compliance settings, managing API integrations with the DigitalSky platform, and auditing drone flight logs. (Source:</w:t>
      </w:r>
      <w:hyperlink r:id="rId12">
        <w:r w:rsidDel="00000000" w:rsidR="00000000" w:rsidRPr="00000000">
          <w:rPr>
            <w:rFonts w:ascii="Google Sans" w:cs="Google Sans" w:eastAsia="Google Sans" w:hAnsi="Google Sans"/>
            <w:sz w:val="24"/>
            <w:szCs w:val="24"/>
            <w:rtl w:val="0"/>
          </w:rPr>
          <w:t xml:space="preserve"> </w:t>
        </w:r>
      </w:hyperlink>
      <w:hyperlink r:id="rId1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7">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Drone Operator (Role):</w:t>
      </w:r>
      <w:r w:rsidDel="00000000" w:rsidR="00000000" w:rsidRPr="00000000">
        <w:rPr>
          <w:rFonts w:ascii="Google Sans" w:cs="Google Sans" w:eastAsia="Google Sans" w:hAnsi="Google Sans"/>
          <w:sz w:val="24"/>
          <w:szCs w:val="24"/>
          <w:rtl w:val="0"/>
        </w:rPr>
        <w:t xml:space="preserve"> This platform role is responsible for registering their drone's Unique Identification Number (UIN) with the system and ensuring its airworthiness before connecting to stream live imagery. (Source:</w:t>
      </w:r>
      <w:hyperlink r:id="rId14">
        <w:r w:rsidDel="00000000" w:rsidR="00000000" w:rsidRPr="00000000">
          <w:rPr>
            <w:rFonts w:ascii="Google Sans" w:cs="Google Sans" w:eastAsia="Google Sans" w:hAnsi="Google Sans"/>
            <w:sz w:val="24"/>
            <w:szCs w:val="24"/>
            <w:rtl w:val="0"/>
          </w:rPr>
          <w:t xml:space="preserve"> </w:t>
        </w:r>
      </w:hyperlink>
      <w:hyperlink r:id="rId15">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Remote Pilot (Role):</w:t>
      </w:r>
      <w:r w:rsidDel="00000000" w:rsidR="00000000" w:rsidRPr="00000000">
        <w:rPr>
          <w:rFonts w:ascii="Google Sans" w:cs="Google Sans" w:eastAsia="Google Sans" w:hAnsi="Google Sans"/>
          <w:sz w:val="24"/>
          <w:szCs w:val="24"/>
          <w:rtl w:val="0"/>
        </w:rPr>
        <w:t xml:space="preserve"> This platform role requires a valid remote pilot certificate number for authentication and is responsible for the safe conduct of the flight while streaming data to the platform's shared map. (Source:</w:t>
      </w:r>
      <w:hyperlink r:id="rId16">
        <w:r w:rsidDel="00000000" w:rsidR="00000000" w:rsidRPr="00000000">
          <w:rPr>
            <w:rFonts w:ascii="Google Sans" w:cs="Google Sans" w:eastAsia="Google Sans" w:hAnsi="Google Sans"/>
            <w:sz w:val="24"/>
            <w:szCs w:val="24"/>
            <w:rtl w:val="0"/>
          </w:rPr>
          <w:t xml:space="preserve"> </w:t>
        </w:r>
      </w:hyperlink>
      <w:hyperlink r:id="rId1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Incident Commander (Role):</w:t>
      </w:r>
      <w:r w:rsidDel="00000000" w:rsidR="00000000" w:rsidRPr="00000000">
        <w:rPr>
          <w:rFonts w:ascii="Google Sans" w:cs="Google Sans" w:eastAsia="Google Sans" w:hAnsi="Google Sans"/>
          <w:sz w:val="24"/>
          <w:szCs w:val="24"/>
          <w:rtl w:val="0"/>
        </w:rPr>
        <w:t xml:space="preserve"> This user will view the incoming drone feeds on the shared map, using the visual data to make tactical decisions while being aware of the drone's compliance status as reported by the platform. (Source:</w:t>
      </w:r>
      <w:hyperlink r:id="rId18">
        <w:r w:rsidDel="00000000" w:rsidR="00000000" w:rsidRPr="00000000">
          <w:rPr>
            <w:rFonts w:ascii="Google Sans" w:cs="Google Sans" w:eastAsia="Google Sans" w:hAnsi="Google Sans"/>
            <w:sz w:val="24"/>
            <w:szCs w:val="24"/>
            <w:rtl w:val="0"/>
          </w:rPr>
          <w:t xml:space="preserve"> </w:t>
        </w:r>
      </w:hyperlink>
      <w:hyperlink r:id="rId1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spacing w:after="240" w:before="24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tz83s0fx05le" w:id="2"/>
      <w:bookmarkEnd w:id="2"/>
      <w:r w:rsidDel="00000000" w:rsidR="00000000" w:rsidRPr="00000000">
        <w:rPr>
          <w:rFonts w:ascii="Google Sans" w:cs="Google Sans" w:eastAsia="Google Sans" w:hAnsi="Google Sans"/>
          <w:b w:val="1"/>
          <w:color w:val="000000"/>
          <w:sz w:val="22"/>
          <w:szCs w:val="22"/>
          <w:rtl w:val="0"/>
        </w:rPr>
        <w:t xml:space="preserve">Processes &amp; Workflows</w:t>
      </w:r>
    </w:p>
    <w:p w:rsidR="00000000" w:rsidDel="00000000" w:rsidP="00000000" w:rsidRDefault="00000000" w:rsidRPr="00000000" w14:paraId="0000000C">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Drone Feed Authentication:</w:t>
      </w:r>
      <w:r w:rsidDel="00000000" w:rsidR="00000000" w:rsidRPr="00000000">
        <w:rPr>
          <w:rFonts w:ascii="Google Sans" w:cs="Google Sans" w:eastAsia="Google Sans" w:hAnsi="Google Sans"/>
          <w:sz w:val="24"/>
          <w:szCs w:val="24"/>
          <w:rtl w:val="0"/>
        </w:rPr>
        <w:t xml:space="preserve"> Before ingesting any drone imagery, the platform must have a workflow to verify the drone's UIN and Type Certificate against the DigitalSky platform's records. (Source:</w:t>
      </w:r>
      <w:hyperlink r:id="rId20">
        <w:r w:rsidDel="00000000" w:rsidR="00000000" w:rsidRPr="00000000">
          <w:rPr>
            <w:rFonts w:ascii="Google Sans" w:cs="Google Sans" w:eastAsia="Google Sans" w:hAnsi="Google Sans"/>
            <w:sz w:val="24"/>
            <w:szCs w:val="24"/>
            <w:rtl w:val="0"/>
          </w:rPr>
          <w:t xml:space="preserve"> </w:t>
        </w:r>
      </w:hyperlink>
      <w:hyperlink r:id="rId2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D">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Flight Clearance Check:</w:t>
      </w:r>
      <w:r w:rsidDel="00000000" w:rsidR="00000000" w:rsidRPr="00000000">
        <w:rPr>
          <w:rFonts w:ascii="Google Sans" w:cs="Google Sans" w:eastAsia="Google Sans" w:hAnsi="Google Sans"/>
          <w:sz w:val="24"/>
          <w:szCs w:val="24"/>
          <w:rtl w:val="0"/>
        </w:rPr>
        <w:t xml:space="preserve"> The platform must implement a workflow that automatically checks a drone's location against the interactive airspace map, permitting data ingestion for Green Zones and flagging feeds from Yellow or Red Zones for manual verification of clearance. (Source:</w:t>
      </w:r>
      <w:hyperlink r:id="rId22">
        <w:r w:rsidDel="00000000" w:rsidR="00000000" w:rsidRPr="00000000">
          <w:rPr>
            <w:rFonts w:ascii="Google Sans" w:cs="Google Sans" w:eastAsia="Google Sans" w:hAnsi="Google Sans"/>
            <w:sz w:val="24"/>
            <w:szCs w:val="24"/>
            <w:rtl w:val="0"/>
          </w:rPr>
          <w:t xml:space="preserve"> </w:t>
        </w:r>
      </w:hyperlink>
      <w:hyperlink r:id="rId2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E">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NPNT Compliance Workflow:</w:t>
      </w:r>
      <w:r w:rsidDel="00000000" w:rsidR="00000000" w:rsidRPr="00000000">
        <w:rPr>
          <w:rFonts w:ascii="Google Sans" w:cs="Google Sans" w:eastAsia="Google Sans" w:hAnsi="Google Sans"/>
          <w:sz w:val="24"/>
          <w:szCs w:val="24"/>
          <w:rtl w:val="0"/>
        </w:rPr>
        <w:t xml:space="preserve"> The platform must enforce 'No Permission, No Take-off' (NPNT) compliance by requiring a valid, digitally signed permission artifact from DigitalSky before a drone's video stream can be activated and displayed on the shared map. (Source:</w:t>
      </w:r>
      <w:hyperlink r:id="rId24">
        <w:r w:rsidDel="00000000" w:rsidR="00000000" w:rsidRPr="00000000">
          <w:rPr>
            <w:rFonts w:ascii="Google Sans" w:cs="Google Sans" w:eastAsia="Google Sans" w:hAnsi="Google Sans"/>
            <w:sz w:val="24"/>
            <w:szCs w:val="24"/>
            <w:rtl w:val="0"/>
          </w:rPr>
          <w:t xml:space="preserve"> </w:t>
        </w:r>
      </w:hyperlink>
      <w:hyperlink r:id="rId25">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javbf2flw7x0" w:id="3"/>
      <w:bookmarkEnd w:id="3"/>
      <w:r w:rsidDel="00000000" w:rsidR="00000000" w:rsidRPr="00000000">
        <w:rPr>
          <w:rFonts w:ascii="Google Sans" w:cs="Google Sans" w:eastAsia="Google Sans" w:hAnsi="Google Sans"/>
          <w:b w:val="1"/>
          <w:color w:val="000000"/>
          <w:sz w:val="22"/>
          <w:szCs w:val="22"/>
          <w:rtl w:val="0"/>
        </w:rPr>
        <w:t xml:space="preserve">Data Requirements</w:t>
      </w:r>
    </w:p>
    <w:p w:rsidR="00000000" w:rsidDel="00000000" w:rsidP="00000000" w:rsidRDefault="00000000" w:rsidRPr="00000000" w14:paraId="00000010">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Automated Flight Logging:</w:t>
      </w:r>
      <w:r w:rsidDel="00000000" w:rsidR="00000000" w:rsidRPr="00000000">
        <w:rPr>
          <w:rFonts w:ascii="Google Sans" w:cs="Google Sans" w:eastAsia="Google Sans" w:hAnsi="Google Sans"/>
          <w:sz w:val="24"/>
          <w:szCs w:val="24"/>
          <w:rtl w:val="0"/>
        </w:rPr>
        <w:t xml:space="preserve"> The platform must automatically log all drone flight data streamed to it, including the date, time, duration, and purpose (linked to a specific incident ID), and store these logs securely for a minimum of seven years. (Source:</w:t>
      </w:r>
      <w:hyperlink r:id="rId26">
        <w:r w:rsidDel="00000000" w:rsidR="00000000" w:rsidRPr="00000000">
          <w:rPr>
            <w:rFonts w:ascii="Google Sans" w:cs="Google Sans" w:eastAsia="Google Sans" w:hAnsi="Google Sans"/>
            <w:sz w:val="24"/>
            <w:szCs w:val="24"/>
            <w:rtl w:val="0"/>
          </w:rPr>
          <w:t xml:space="preserve"> </w:t>
        </w:r>
      </w:hyperlink>
      <w:hyperlink r:id="rId2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1">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Secure Log Chaining:</w:t>
      </w:r>
      <w:r w:rsidDel="00000000" w:rsidR="00000000" w:rsidRPr="00000000">
        <w:rPr>
          <w:rFonts w:ascii="Google Sans" w:cs="Google Sans" w:eastAsia="Google Sans" w:hAnsi="Google Sans"/>
          <w:sz w:val="24"/>
          <w:szCs w:val="24"/>
          <w:rtl w:val="0"/>
        </w:rPr>
        <w:t xml:space="preserve"> To ensure data integrity for post-incident audits, the platform will implement a secure "flight log chaining" mechanism for all drone operational data, making the logs tamper-proof. (Source:</w:t>
      </w:r>
      <w:hyperlink r:id="rId28">
        <w:r w:rsidDel="00000000" w:rsidR="00000000" w:rsidRPr="00000000">
          <w:rPr>
            <w:rFonts w:ascii="Google Sans" w:cs="Google Sans" w:eastAsia="Google Sans" w:hAnsi="Google Sans"/>
            <w:sz w:val="24"/>
            <w:szCs w:val="24"/>
            <w:rtl w:val="0"/>
          </w:rPr>
          <w:t xml:space="preserve"> </w:t>
        </w:r>
      </w:hyperlink>
      <w:hyperlink r:id="rId2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2">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Encrypted Data Transmission:</w:t>
      </w:r>
      <w:r w:rsidDel="00000000" w:rsidR="00000000" w:rsidRPr="00000000">
        <w:rPr>
          <w:rFonts w:ascii="Google Sans" w:cs="Google Sans" w:eastAsia="Google Sans" w:hAnsi="Google Sans"/>
          <w:sz w:val="24"/>
          <w:szCs w:val="24"/>
          <w:rtl w:val="0"/>
        </w:rPr>
        <w:t xml:space="preserve"> All drone imagery and telemetry data must be transmitted to the platform in an encrypted format to ensure data security during ingestion. (Source:</w:t>
      </w:r>
      <w:hyperlink r:id="rId30">
        <w:r w:rsidDel="00000000" w:rsidR="00000000" w:rsidRPr="00000000">
          <w:rPr>
            <w:rFonts w:ascii="Google Sans" w:cs="Google Sans" w:eastAsia="Google Sans" w:hAnsi="Google Sans"/>
            <w:sz w:val="24"/>
            <w:szCs w:val="24"/>
            <w:rtl w:val="0"/>
          </w:rPr>
          <w:t xml:space="preserve"> </w:t>
        </w:r>
      </w:hyperlink>
      <w:hyperlink r:id="rId3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3">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Registration Data Storage:</w:t>
      </w:r>
      <w:r w:rsidDel="00000000" w:rsidR="00000000" w:rsidRPr="00000000">
        <w:rPr>
          <w:rFonts w:ascii="Google Sans" w:cs="Google Sans" w:eastAsia="Google Sans" w:hAnsi="Google Sans"/>
          <w:sz w:val="24"/>
          <w:szCs w:val="24"/>
          <w:rtl w:val="0"/>
        </w:rPr>
        <w:t xml:space="preserve"> The platform must securely store the registration data for each drone linked to it, including its UIN and owner/operator details, as required for compliance checks. (Source:</w:t>
      </w:r>
      <w:hyperlink r:id="rId32">
        <w:r w:rsidDel="00000000" w:rsidR="00000000" w:rsidRPr="00000000">
          <w:rPr>
            <w:rFonts w:ascii="Google Sans" w:cs="Google Sans" w:eastAsia="Google Sans" w:hAnsi="Google Sans"/>
            <w:sz w:val="24"/>
            <w:szCs w:val="24"/>
            <w:rtl w:val="0"/>
          </w:rPr>
          <w:t xml:space="preserve"> </w:t>
        </w:r>
      </w:hyperlink>
      <w:hyperlink r:id="rId3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widowControl w:val="0"/>
        <w:spacing w:after="240" w:before="24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odatat8y4m1y" w:id="4"/>
      <w:bookmarkEnd w:id="4"/>
      <w:r w:rsidDel="00000000" w:rsidR="00000000" w:rsidRPr="00000000">
        <w:rPr>
          <w:rFonts w:ascii="Google Sans" w:cs="Google Sans" w:eastAsia="Google Sans" w:hAnsi="Google Sans"/>
          <w:b w:val="1"/>
          <w:color w:val="000000"/>
          <w:sz w:val="22"/>
          <w:szCs w:val="22"/>
          <w:rtl w:val="0"/>
        </w:rPr>
        <w:t xml:space="preserve">Constraints &amp; Rules</w:t>
      </w:r>
    </w:p>
    <w:p w:rsidR="00000000" w:rsidDel="00000000" w:rsidP="00000000" w:rsidRDefault="00000000" w:rsidRPr="00000000" w14:paraId="00000016">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Airspace Zone Display:</w:t>
      </w:r>
      <w:r w:rsidDel="00000000" w:rsidR="00000000" w:rsidRPr="00000000">
        <w:rPr>
          <w:rFonts w:ascii="Google Sans" w:cs="Google Sans" w:eastAsia="Google Sans" w:hAnsi="Google Sans"/>
          <w:sz w:val="24"/>
          <w:szCs w:val="24"/>
          <w:rtl w:val="0"/>
        </w:rPr>
        <w:t xml:space="preserve"> The platform's shared map UI must dynamically display the boundaries of Red, Yellow, and Green airspace zones and issue real-time alerts to the Incident Commander if a drone feed originates from or enters a restricted area. (Source:</w:t>
      </w:r>
      <w:hyperlink r:id="rId34">
        <w:r w:rsidDel="00000000" w:rsidR="00000000" w:rsidRPr="00000000">
          <w:rPr>
            <w:rFonts w:ascii="Google Sans" w:cs="Google Sans" w:eastAsia="Google Sans" w:hAnsi="Google Sans"/>
            <w:sz w:val="24"/>
            <w:szCs w:val="24"/>
            <w:rtl w:val="0"/>
          </w:rPr>
          <w:t xml:space="preserve"> </w:t>
        </w:r>
      </w:hyperlink>
      <w:hyperlink r:id="rId35">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Altitude Monitoring:</w:t>
      </w:r>
      <w:r w:rsidDel="00000000" w:rsidR="00000000" w:rsidRPr="00000000">
        <w:rPr>
          <w:rFonts w:ascii="Google Sans" w:cs="Google Sans" w:eastAsia="Google Sans" w:hAnsi="Google Sans"/>
          <w:sz w:val="24"/>
          <w:szCs w:val="24"/>
          <w:rtl w:val="0"/>
        </w:rPr>
        <w:t xml:space="preserve"> The platform must ingest and monitor the drone's altitude data, flagging any operations in a Green Zone that exceed the 400-foot (120 meters) limit. (Source:</w:t>
      </w:r>
      <w:hyperlink r:id="rId36">
        <w:r w:rsidDel="00000000" w:rsidR="00000000" w:rsidRPr="00000000">
          <w:rPr>
            <w:rFonts w:ascii="Google Sans" w:cs="Google Sans" w:eastAsia="Google Sans" w:hAnsi="Google Sans"/>
            <w:sz w:val="24"/>
            <w:szCs w:val="24"/>
            <w:rtl w:val="0"/>
          </w:rPr>
          <w:t xml:space="preserve"> </w:t>
        </w:r>
      </w:hyperlink>
      <w:hyperlink r:id="rId3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8">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Payload Restrictions:</w:t>
      </w:r>
      <w:r w:rsidDel="00000000" w:rsidR="00000000" w:rsidRPr="00000000">
        <w:rPr>
          <w:rFonts w:ascii="Google Sans" w:cs="Google Sans" w:eastAsia="Google Sans" w:hAnsi="Google Sans"/>
          <w:sz w:val="24"/>
          <w:szCs w:val="24"/>
          <w:rtl w:val="0"/>
        </w:rPr>
        <w:t xml:space="preserve"> For any drone operation, the platform will require the operator to declare the payload. The system will prohibit the activation of feeds from drones carrying unauthorized or dangerous goods. (Source:</w:t>
      </w:r>
      <w:hyperlink r:id="rId38">
        <w:r w:rsidDel="00000000" w:rsidR="00000000" w:rsidRPr="00000000">
          <w:rPr>
            <w:rFonts w:ascii="Google Sans" w:cs="Google Sans" w:eastAsia="Google Sans" w:hAnsi="Google Sans"/>
            <w:sz w:val="24"/>
            <w:szCs w:val="24"/>
            <w:rtl w:val="0"/>
          </w:rPr>
          <w:t xml:space="preserve"> </w:t>
        </w:r>
      </w:hyperlink>
      <w:hyperlink r:id="rId3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9">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5kkzbs6g7ija" w:id="5"/>
      <w:bookmarkEnd w:id="5"/>
      <w:r w:rsidDel="00000000" w:rsidR="00000000" w:rsidRPr="00000000">
        <w:rPr>
          <w:rFonts w:ascii="Google Sans" w:cs="Google Sans" w:eastAsia="Google Sans" w:hAnsi="Google Sans"/>
          <w:b w:val="1"/>
          <w:color w:val="000000"/>
          <w:sz w:val="22"/>
          <w:szCs w:val="22"/>
          <w:rtl w:val="0"/>
        </w:rPr>
        <w:t xml:space="preserve">Non-Functional Needs</w:t>
      </w:r>
    </w:p>
    <w:p w:rsidR="00000000" w:rsidDel="00000000" w:rsidP="00000000" w:rsidRDefault="00000000" w:rsidRPr="00000000" w14:paraId="0000001A">
      <w:pPr>
        <w:widowControl w:val="0"/>
        <w:numPr>
          <w:ilvl w:val="0"/>
          <w:numId w:val="8"/>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Scalability:</w:t>
      </w:r>
      <w:r w:rsidDel="00000000" w:rsidR="00000000" w:rsidRPr="00000000">
        <w:rPr>
          <w:rFonts w:ascii="Google Sans" w:cs="Google Sans" w:eastAsia="Google Sans" w:hAnsi="Google Sans"/>
          <w:sz w:val="24"/>
          <w:szCs w:val="24"/>
          <w:rtl w:val="0"/>
        </w:rPr>
        <w:t xml:space="preserve"> The platform must be highly scalable to handle the ingestion of thousands of simultaneous drone video feeds during a large-scale disaster, mirroring the scalability requirements of the national DigitalSky system. (Source:</w:t>
      </w:r>
      <w:hyperlink r:id="rId40">
        <w:r w:rsidDel="00000000" w:rsidR="00000000" w:rsidRPr="00000000">
          <w:rPr>
            <w:rFonts w:ascii="Google Sans" w:cs="Google Sans" w:eastAsia="Google Sans" w:hAnsi="Google Sans"/>
            <w:sz w:val="24"/>
            <w:szCs w:val="24"/>
            <w:rtl w:val="0"/>
          </w:rPr>
          <w:t xml:space="preserve"> </w:t>
        </w:r>
      </w:hyperlink>
      <w:hyperlink r:id="rId4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High Availability:</w:t>
      </w:r>
      <w:r w:rsidDel="00000000" w:rsidR="00000000" w:rsidRPr="00000000">
        <w:rPr>
          <w:rFonts w:ascii="Google Sans" w:cs="Google Sans" w:eastAsia="Google Sans" w:hAnsi="Google Sans"/>
          <w:sz w:val="24"/>
          <w:szCs w:val="24"/>
          <w:rtl w:val="0"/>
        </w:rPr>
        <w:t xml:space="preserve"> The platform's drone ingestion module must be available 24/7 to allow operators to connect and stream data at any time, especially during a crisis when immediate visual information is critical. (Source:</w:t>
      </w:r>
      <w:hyperlink r:id="rId42">
        <w:r w:rsidDel="00000000" w:rsidR="00000000" w:rsidRPr="00000000">
          <w:rPr>
            <w:rFonts w:ascii="Google Sans" w:cs="Google Sans" w:eastAsia="Google Sans" w:hAnsi="Google Sans"/>
            <w:sz w:val="24"/>
            <w:szCs w:val="24"/>
            <w:rtl w:val="0"/>
          </w:rPr>
          <w:t xml:space="preserve"> </w:t>
        </w:r>
      </w:hyperlink>
      <w:hyperlink r:id="rId4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C">
      <w:pPr>
        <w:widowControl w:val="0"/>
        <w:numPr>
          <w:ilvl w:val="0"/>
          <w:numId w:val="8"/>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Performance:</w:t>
      </w:r>
      <w:r w:rsidDel="00000000" w:rsidR="00000000" w:rsidRPr="00000000">
        <w:rPr>
          <w:rFonts w:ascii="Google Sans" w:cs="Google Sans" w:eastAsia="Google Sans" w:hAnsi="Google Sans"/>
          <w:sz w:val="24"/>
          <w:szCs w:val="24"/>
          <w:rtl w:val="0"/>
        </w:rPr>
        <w:t xml:space="preserve"> The platform must process and display incoming drone video streams on the shared map with near-real-time latency to provide actionable intelligence to the Incident Commander. (Source:</w:t>
      </w:r>
      <w:hyperlink r:id="rId44">
        <w:r w:rsidDel="00000000" w:rsidR="00000000" w:rsidRPr="00000000">
          <w:rPr>
            <w:rFonts w:ascii="Google Sans" w:cs="Google Sans" w:eastAsia="Google Sans" w:hAnsi="Google Sans"/>
            <w:sz w:val="24"/>
            <w:szCs w:val="24"/>
            <w:rtl w:val="0"/>
          </w:rPr>
          <w:t xml:space="preserve"> </w:t>
        </w:r>
      </w:hyperlink>
      <w:hyperlink r:id="rId45">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D">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b12yhphvxcjh" w:id="6"/>
      <w:bookmarkEnd w:id="6"/>
      <w:r w:rsidDel="00000000" w:rsidR="00000000" w:rsidRPr="00000000">
        <w:rPr>
          <w:rFonts w:ascii="Google Sans" w:cs="Google Sans" w:eastAsia="Google Sans" w:hAnsi="Google Sans"/>
          <w:b w:val="1"/>
          <w:color w:val="000000"/>
          <w:sz w:val="22"/>
          <w:szCs w:val="22"/>
          <w:rtl w:val="0"/>
        </w:rPr>
        <w:t xml:space="preserve">Pain Points / Gaps</w:t>
      </w:r>
    </w:p>
    <w:p w:rsidR="00000000" w:rsidDel="00000000" w:rsidP="00000000" w:rsidRDefault="00000000" w:rsidRPr="00000000" w14:paraId="0000001E">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Addressing Skill Gaps:</w:t>
      </w:r>
      <w:r w:rsidDel="00000000" w:rsidR="00000000" w:rsidRPr="00000000">
        <w:rPr>
          <w:rFonts w:ascii="Google Sans" w:cs="Google Sans" w:eastAsia="Google Sans" w:hAnsi="Google Sans"/>
          <w:sz w:val="24"/>
          <w:szCs w:val="24"/>
          <w:rtl w:val="0"/>
        </w:rPr>
        <w:t xml:space="preserve"> The platform will feature an intuitive user interface and guided workflows for drone operators to simplify the process of compliant data streaming, helping to mitigate the existing skill gap for certified pilots. (Source:</w:t>
      </w:r>
      <w:hyperlink r:id="rId46">
        <w:r w:rsidDel="00000000" w:rsidR="00000000" w:rsidRPr="00000000">
          <w:rPr>
            <w:rFonts w:ascii="Google Sans" w:cs="Google Sans" w:eastAsia="Google Sans" w:hAnsi="Google Sans"/>
            <w:sz w:val="24"/>
            <w:szCs w:val="24"/>
            <w:rtl w:val="0"/>
          </w:rPr>
          <w:t xml:space="preserve"> </w:t>
        </w:r>
      </w:hyperlink>
      <w:hyperlink r:id="rId4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F">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Enhancing Cybersecurity:</w:t>
      </w:r>
      <w:r w:rsidDel="00000000" w:rsidR="00000000" w:rsidRPr="00000000">
        <w:rPr>
          <w:rFonts w:ascii="Google Sans" w:cs="Google Sans" w:eastAsia="Google Sans" w:hAnsi="Google Sans"/>
          <w:sz w:val="24"/>
          <w:szCs w:val="24"/>
          <w:rtl w:val="0"/>
        </w:rPr>
        <w:t xml:space="preserve"> The platform will address cybersecurity concerns by mandating end-to-end encryption for all drone data streams and implementing robust authentication to prevent unauthorized access or hijacking of feeds. (Source:</w:t>
      </w:r>
      <w:hyperlink r:id="rId48">
        <w:r w:rsidDel="00000000" w:rsidR="00000000" w:rsidRPr="00000000">
          <w:rPr>
            <w:rFonts w:ascii="Google Sans" w:cs="Google Sans" w:eastAsia="Google Sans" w:hAnsi="Google Sans"/>
            <w:sz w:val="24"/>
            <w:szCs w:val="24"/>
            <w:rtl w:val="0"/>
          </w:rPr>
          <w:t xml:space="preserve"> </w:t>
        </w:r>
      </w:hyperlink>
      <w:hyperlink r:id="rId4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0">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Centralized Traffic Management:</w:t>
      </w:r>
      <w:r w:rsidDel="00000000" w:rsidR="00000000" w:rsidRPr="00000000">
        <w:rPr>
          <w:rFonts w:ascii="Google Sans" w:cs="Google Sans" w:eastAsia="Google Sans" w:hAnsi="Google Sans"/>
          <w:sz w:val="24"/>
          <w:szCs w:val="24"/>
          <w:rtl w:val="0"/>
        </w:rPr>
        <w:t xml:space="preserve"> By displaying all authorized drone locations on a single shared map, the platform will function as a localized Unmanned Aircraft System (UAS) Traffic Management (UTM) system for the incident area, addressing the gap of a centralized system. (Source:</w:t>
      </w:r>
      <w:hyperlink r:id="rId50">
        <w:r w:rsidDel="00000000" w:rsidR="00000000" w:rsidRPr="00000000">
          <w:rPr>
            <w:rFonts w:ascii="Google Sans" w:cs="Google Sans" w:eastAsia="Google Sans" w:hAnsi="Google Sans"/>
            <w:sz w:val="24"/>
            <w:szCs w:val="24"/>
            <w:rtl w:val="0"/>
          </w:rPr>
          <w:t xml:space="preserve"> </w:t>
        </w:r>
      </w:hyperlink>
      <w:hyperlink r:id="rId5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bqt1w83sep7" w:id="7"/>
      <w:bookmarkEnd w:id="7"/>
      <w:r w:rsidDel="00000000" w:rsidR="00000000" w:rsidRPr="00000000">
        <w:rPr>
          <w:rFonts w:ascii="Google Sans" w:cs="Google Sans" w:eastAsia="Google Sans" w:hAnsi="Google Sans"/>
          <w:b w:val="1"/>
          <w:color w:val="000000"/>
          <w:sz w:val="22"/>
          <w:szCs w:val="22"/>
          <w:rtl w:val="0"/>
        </w:rPr>
        <w:t xml:space="preserve">Outputs &amp; Deliverables</w:t>
      </w:r>
    </w:p>
    <w:p w:rsidR="00000000" w:rsidDel="00000000" w:rsidP="00000000" w:rsidRDefault="00000000" w:rsidRPr="00000000" w14:paraId="00000022">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Live Drone Feeds on Map:</w:t>
      </w:r>
      <w:r w:rsidDel="00000000" w:rsidR="00000000" w:rsidRPr="00000000">
        <w:rPr>
          <w:rFonts w:ascii="Google Sans" w:cs="Google Sans" w:eastAsia="Google Sans" w:hAnsi="Google Sans"/>
          <w:sz w:val="24"/>
          <w:szCs w:val="24"/>
          <w:rtl w:val="0"/>
        </w:rPr>
        <w:t xml:space="preserve"> The primary output will be the real-time display of multiple, geo-located drone video feeds layered onto the common operational picture. (Source:</w:t>
      </w:r>
      <w:hyperlink r:id="rId52">
        <w:r w:rsidDel="00000000" w:rsidR="00000000" w:rsidRPr="00000000">
          <w:rPr>
            <w:rFonts w:ascii="Google Sans" w:cs="Google Sans" w:eastAsia="Google Sans" w:hAnsi="Google Sans"/>
            <w:sz w:val="24"/>
            <w:szCs w:val="24"/>
            <w:rtl w:val="0"/>
          </w:rPr>
          <w:t xml:space="preserve"> </w:t>
        </w:r>
      </w:hyperlink>
      <w:hyperlink r:id="rId5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3">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Compliance Reports:</w:t>
      </w:r>
      <w:r w:rsidDel="00000000" w:rsidR="00000000" w:rsidRPr="00000000">
        <w:rPr>
          <w:rFonts w:ascii="Google Sans" w:cs="Google Sans" w:eastAsia="Google Sans" w:hAnsi="Google Sans"/>
          <w:sz w:val="24"/>
          <w:szCs w:val="24"/>
          <w:rtl w:val="0"/>
        </w:rPr>
        <w:t xml:space="preserve"> The platform will generate automated reports for each drone operation, detailing its flight path, duration, and compliance with DGCA rules, which can be used for after-action reviews. (Source:</w:t>
      </w:r>
      <w:hyperlink r:id="rId54">
        <w:r w:rsidDel="00000000" w:rsidR="00000000" w:rsidRPr="00000000">
          <w:rPr>
            <w:rFonts w:ascii="Google Sans" w:cs="Google Sans" w:eastAsia="Google Sans" w:hAnsi="Google Sans"/>
            <w:sz w:val="24"/>
            <w:szCs w:val="24"/>
            <w:rtl w:val="0"/>
          </w:rPr>
          <w:t xml:space="preserve"> </w:t>
        </w:r>
      </w:hyperlink>
      <w:hyperlink r:id="rId55">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4">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Incident-Specific Airspace Map:</w:t>
      </w:r>
      <w:r w:rsidDel="00000000" w:rsidR="00000000" w:rsidRPr="00000000">
        <w:rPr>
          <w:rFonts w:ascii="Google Sans" w:cs="Google Sans" w:eastAsia="Google Sans" w:hAnsi="Google Sans"/>
          <w:sz w:val="24"/>
          <w:szCs w:val="24"/>
          <w:rtl w:val="0"/>
        </w:rPr>
        <w:t xml:space="preserve"> The platform will deliver a dynamic, incident-specific version of the DGCA airspace map, showing all active friendly drones and known restricted zones to all relevant stakeholders. (Source:</w:t>
      </w:r>
      <w:hyperlink r:id="rId56">
        <w:r w:rsidDel="00000000" w:rsidR="00000000" w:rsidRPr="00000000">
          <w:rPr>
            <w:rFonts w:ascii="Google Sans" w:cs="Google Sans" w:eastAsia="Google Sans" w:hAnsi="Google Sans"/>
            <w:sz w:val="24"/>
            <w:szCs w:val="24"/>
            <w:rtl w:val="0"/>
          </w:rPr>
          <w:t xml:space="preserve"> </w:t>
        </w:r>
      </w:hyperlink>
      <w:hyperlink r:id="rId57">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5vd67jfvht27" w:id="8"/>
      <w:bookmarkEnd w:id="8"/>
      <w:r w:rsidDel="00000000" w:rsidR="00000000" w:rsidRPr="00000000">
        <w:rPr>
          <w:rFonts w:ascii="Google Sans" w:cs="Google Sans" w:eastAsia="Google Sans" w:hAnsi="Google Sans"/>
          <w:b w:val="1"/>
          <w:color w:val="000000"/>
          <w:sz w:val="22"/>
          <w:szCs w:val="22"/>
          <w:rtl w:val="0"/>
        </w:rPr>
        <w:t xml:space="preserve">Compliance &amp; Accountability</w:t>
      </w:r>
    </w:p>
    <w:p w:rsidR="00000000" w:rsidDel="00000000" w:rsidP="00000000" w:rsidRDefault="00000000" w:rsidRPr="00000000" w14:paraId="00000026">
      <w:pPr>
        <w:widowControl w:val="0"/>
        <w:numPr>
          <w:ilvl w:val="0"/>
          <w:numId w:val="9"/>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Mandatory Insurance Verification:</w:t>
      </w:r>
      <w:r w:rsidDel="00000000" w:rsidR="00000000" w:rsidRPr="00000000">
        <w:rPr>
          <w:rFonts w:ascii="Google Sans" w:cs="Google Sans" w:eastAsia="Google Sans" w:hAnsi="Google Sans"/>
          <w:sz w:val="24"/>
          <w:szCs w:val="24"/>
          <w:rtl w:val="0"/>
        </w:rPr>
        <w:t xml:space="preserve"> The platform will require drone operators to upload proof of valid third-party insurance during registration and will flag any operator whose insurance is expired. (Source:</w:t>
      </w:r>
      <w:hyperlink r:id="rId58">
        <w:r w:rsidDel="00000000" w:rsidR="00000000" w:rsidRPr="00000000">
          <w:rPr>
            <w:rFonts w:ascii="Google Sans" w:cs="Google Sans" w:eastAsia="Google Sans" w:hAnsi="Google Sans"/>
            <w:sz w:val="24"/>
            <w:szCs w:val="24"/>
            <w:rtl w:val="0"/>
          </w:rPr>
          <w:t xml:space="preserve"> </w:t>
        </w:r>
      </w:hyperlink>
      <w:hyperlink r:id="rId59">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7">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Digital Audit Trail:</w:t>
      </w:r>
      <w:r w:rsidDel="00000000" w:rsidR="00000000" w:rsidRPr="00000000">
        <w:rPr>
          <w:rFonts w:ascii="Google Sans" w:cs="Google Sans" w:eastAsia="Google Sans" w:hAnsi="Google Sans"/>
          <w:sz w:val="24"/>
          <w:szCs w:val="24"/>
          <w:rtl w:val="0"/>
        </w:rPr>
        <w:t xml:space="preserve"> The platform will maintain a complete digital record of all drone-related transactions, including flight permissions and logs, to ensure full accountability and support audits. (Source:</w:t>
      </w:r>
      <w:hyperlink r:id="rId60">
        <w:r w:rsidDel="00000000" w:rsidR="00000000" w:rsidRPr="00000000">
          <w:rPr>
            <w:rFonts w:ascii="Google Sans" w:cs="Google Sans" w:eastAsia="Google Sans" w:hAnsi="Google Sans"/>
            <w:sz w:val="24"/>
            <w:szCs w:val="24"/>
            <w:rtl w:val="0"/>
          </w:rPr>
          <w:t xml:space="preserve"> </w:t>
        </w:r>
      </w:hyperlink>
      <w:hyperlink r:id="rId61">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8">
      <w:pPr>
        <w:widowControl w:val="0"/>
        <w:numPr>
          <w:ilvl w:val="0"/>
          <w:numId w:val="9"/>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Incident Reporting:</w:t>
      </w:r>
      <w:r w:rsidDel="00000000" w:rsidR="00000000" w:rsidRPr="00000000">
        <w:rPr>
          <w:rFonts w:ascii="Google Sans" w:cs="Google Sans" w:eastAsia="Google Sans" w:hAnsi="Google Sans"/>
          <w:sz w:val="24"/>
          <w:szCs w:val="24"/>
          <w:rtl w:val="0"/>
        </w:rPr>
        <w:t xml:space="preserve"> In case of a drone-related accident (e.g., crash), the platform will automatically flag the last known location and flight data and generate a preliminary incident report for submission to the DGCA. (Source:</w:t>
      </w:r>
      <w:hyperlink r:id="rId62">
        <w:r w:rsidDel="00000000" w:rsidR="00000000" w:rsidRPr="00000000">
          <w:rPr>
            <w:rFonts w:ascii="Google Sans" w:cs="Google Sans" w:eastAsia="Google Sans" w:hAnsi="Google Sans"/>
            <w:sz w:val="24"/>
            <w:szCs w:val="24"/>
            <w:rtl w:val="0"/>
          </w:rPr>
          <w:t xml:space="preserve"> </w:t>
        </w:r>
      </w:hyperlink>
      <w:hyperlink r:id="rId63">
        <w:r w:rsidDel="00000000" w:rsidR="00000000" w:rsidRPr="00000000">
          <w:rPr>
            <w:rFonts w:ascii="Google Sans" w:cs="Google Sans" w:eastAsia="Google Sans" w:hAnsi="Google Sans"/>
            <w:color w:val="1155cc"/>
            <w:sz w:val="24"/>
            <w:szCs w:val="24"/>
            <w:u w:val="single"/>
            <w:rtl w:val="0"/>
          </w:rPr>
          <w:t xml:space="preserve">https://www.dgca.gov.in/digigov-portal/?page=jsp/dgca/common/droneRules.jsp</w:t>
        </w:r>
      </w:hyperlink>
      <w:r w:rsidDel="00000000" w:rsidR="00000000" w:rsidRPr="00000000">
        <w:rPr>
          <w:rtl w:val="0"/>
        </w:rPr>
      </w:r>
    </w:p>
    <w:p w:rsidR="00000000" w:rsidDel="00000000" w:rsidP="00000000" w:rsidRDefault="00000000" w:rsidRPr="00000000" w14:paraId="00000029">
      <w:pPr>
        <w:widowControl w:val="0"/>
        <w:spacing w:after="240" w:before="240"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gca.gov.in/digigov-portal/?page=jsp/dgca/common/droneRules.jsp" TargetMode="External"/><Relationship Id="rId42" Type="http://schemas.openxmlformats.org/officeDocument/2006/relationships/hyperlink" Target="https://www.dgca.gov.in/digigov-portal/?page=jsp/dgca/common/droneRules.jsp" TargetMode="External"/><Relationship Id="rId41" Type="http://schemas.openxmlformats.org/officeDocument/2006/relationships/hyperlink" Target="https://www.dgca.gov.in/digigov-portal/?page=jsp/dgca/common/droneRules.jsp" TargetMode="External"/><Relationship Id="rId44" Type="http://schemas.openxmlformats.org/officeDocument/2006/relationships/hyperlink" Target="https://www.dgca.gov.in/digigov-portal/?page=jsp/dgca/common/droneRules.jsp" TargetMode="External"/><Relationship Id="rId43" Type="http://schemas.openxmlformats.org/officeDocument/2006/relationships/hyperlink" Target="https://www.dgca.gov.in/digigov-portal/?page=jsp/dgca/common/droneRules.jsp" TargetMode="External"/><Relationship Id="rId46" Type="http://schemas.openxmlformats.org/officeDocument/2006/relationships/hyperlink" Target="https://www.dgca.gov.in/digigov-portal/?page=jsp/dgca/common/droneRules.jsp" TargetMode="External"/><Relationship Id="rId45" Type="http://schemas.openxmlformats.org/officeDocument/2006/relationships/hyperlink" Target="https://www.dgca.gov.in/digigov-portal/?page=jsp/dgca/common/droneRules.j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gca.gov.in/digigov-portal/?page=jsp/dgca/common/droneRules.jsp" TargetMode="External"/><Relationship Id="rId48" Type="http://schemas.openxmlformats.org/officeDocument/2006/relationships/hyperlink" Target="https://www.dgca.gov.in/digigov-portal/?page=jsp/dgca/common/droneRules.jsp" TargetMode="External"/><Relationship Id="rId47" Type="http://schemas.openxmlformats.org/officeDocument/2006/relationships/hyperlink" Target="https://www.dgca.gov.in/digigov-portal/?page=jsp/dgca/common/droneRules.jsp" TargetMode="External"/><Relationship Id="rId49" Type="http://schemas.openxmlformats.org/officeDocument/2006/relationships/hyperlink" Target="https://www.dgca.gov.in/digigov-portal/?page=jsp/dgca/common/droneRules.jsp" TargetMode="External"/><Relationship Id="rId5" Type="http://schemas.openxmlformats.org/officeDocument/2006/relationships/styles" Target="styles.xml"/><Relationship Id="rId6" Type="http://schemas.openxmlformats.org/officeDocument/2006/relationships/hyperlink" Target="https://www.dgca.gov.in/digigov-portal/?page=jsp/dgca/common/droneRules.jsp" TargetMode="External"/><Relationship Id="rId7" Type="http://schemas.openxmlformats.org/officeDocument/2006/relationships/hyperlink" Target="https://www.dgca.gov.in/digigov-portal/?page=jsp/dgca/common/droneRules.jsp" TargetMode="External"/><Relationship Id="rId8" Type="http://schemas.openxmlformats.org/officeDocument/2006/relationships/hyperlink" Target="https://www.dgca.gov.in/digigov-portal/?page=jsp/dgca/common/droneRules.jsp" TargetMode="External"/><Relationship Id="rId31" Type="http://schemas.openxmlformats.org/officeDocument/2006/relationships/hyperlink" Target="https://www.dgca.gov.in/digigov-portal/?page=jsp/dgca/common/droneRules.jsp" TargetMode="External"/><Relationship Id="rId30" Type="http://schemas.openxmlformats.org/officeDocument/2006/relationships/hyperlink" Target="https://www.dgca.gov.in/digigov-portal/?page=jsp/dgca/common/droneRules.jsp" TargetMode="External"/><Relationship Id="rId33" Type="http://schemas.openxmlformats.org/officeDocument/2006/relationships/hyperlink" Target="https://www.dgca.gov.in/digigov-portal/?page=jsp/dgca/common/droneRules.jsp" TargetMode="External"/><Relationship Id="rId32" Type="http://schemas.openxmlformats.org/officeDocument/2006/relationships/hyperlink" Target="https://www.dgca.gov.in/digigov-portal/?page=jsp/dgca/common/droneRules.jsp" TargetMode="External"/><Relationship Id="rId35" Type="http://schemas.openxmlformats.org/officeDocument/2006/relationships/hyperlink" Target="https://www.dgca.gov.in/digigov-portal/?page=jsp/dgca/common/droneRules.jsp" TargetMode="External"/><Relationship Id="rId34" Type="http://schemas.openxmlformats.org/officeDocument/2006/relationships/hyperlink" Target="https://www.dgca.gov.in/digigov-portal/?page=jsp/dgca/common/droneRules.jsp" TargetMode="External"/><Relationship Id="rId37" Type="http://schemas.openxmlformats.org/officeDocument/2006/relationships/hyperlink" Target="https://www.dgca.gov.in/digigov-portal/?page=jsp/dgca/common/droneRules.jsp" TargetMode="External"/><Relationship Id="rId36" Type="http://schemas.openxmlformats.org/officeDocument/2006/relationships/hyperlink" Target="https://www.dgca.gov.in/digigov-portal/?page=jsp/dgca/common/droneRules.jsp" TargetMode="External"/><Relationship Id="rId39" Type="http://schemas.openxmlformats.org/officeDocument/2006/relationships/hyperlink" Target="https://www.dgca.gov.in/digigov-portal/?page=jsp/dgca/common/droneRules.jsp" TargetMode="External"/><Relationship Id="rId38" Type="http://schemas.openxmlformats.org/officeDocument/2006/relationships/hyperlink" Target="https://www.dgca.gov.in/digigov-portal/?page=jsp/dgca/common/droneRules.jsp" TargetMode="External"/><Relationship Id="rId62" Type="http://schemas.openxmlformats.org/officeDocument/2006/relationships/hyperlink" Target="https://www.dgca.gov.in/digigov-portal/?page=jsp/dgca/common/droneRules.jsp" TargetMode="External"/><Relationship Id="rId61" Type="http://schemas.openxmlformats.org/officeDocument/2006/relationships/hyperlink" Target="https://www.dgca.gov.in/digigov-portal/?page=jsp/dgca/common/droneRules.jsp" TargetMode="External"/><Relationship Id="rId20" Type="http://schemas.openxmlformats.org/officeDocument/2006/relationships/hyperlink" Target="https://www.dgca.gov.in/digigov-portal/?page=jsp/dgca/common/droneRules.jsp" TargetMode="External"/><Relationship Id="rId63" Type="http://schemas.openxmlformats.org/officeDocument/2006/relationships/hyperlink" Target="https://www.dgca.gov.in/digigov-portal/?page=jsp/dgca/common/droneRules.jsp" TargetMode="External"/><Relationship Id="rId22" Type="http://schemas.openxmlformats.org/officeDocument/2006/relationships/hyperlink" Target="https://www.dgca.gov.in/digigov-portal/?page=jsp/dgca/common/droneRules.jsp" TargetMode="External"/><Relationship Id="rId21" Type="http://schemas.openxmlformats.org/officeDocument/2006/relationships/hyperlink" Target="https://www.dgca.gov.in/digigov-portal/?page=jsp/dgca/common/droneRules.jsp" TargetMode="External"/><Relationship Id="rId24" Type="http://schemas.openxmlformats.org/officeDocument/2006/relationships/hyperlink" Target="https://www.dgca.gov.in/digigov-portal/?page=jsp/dgca/common/droneRules.jsp" TargetMode="External"/><Relationship Id="rId23" Type="http://schemas.openxmlformats.org/officeDocument/2006/relationships/hyperlink" Target="https://www.dgca.gov.in/digigov-portal/?page=jsp/dgca/common/droneRules.jsp" TargetMode="External"/><Relationship Id="rId60" Type="http://schemas.openxmlformats.org/officeDocument/2006/relationships/hyperlink" Target="https://www.dgca.gov.in/digigov-portal/?page=jsp/dgca/common/droneRules.jsp" TargetMode="External"/><Relationship Id="rId26" Type="http://schemas.openxmlformats.org/officeDocument/2006/relationships/hyperlink" Target="https://www.dgca.gov.in/digigov-portal/?page=jsp/dgca/common/droneRules.jsp" TargetMode="External"/><Relationship Id="rId25" Type="http://schemas.openxmlformats.org/officeDocument/2006/relationships/hyperlink" Target="https://www.dgca.gov.in/digigov-portal/?page=jsp/dgca/common/droneRules.jsp" TargetMode="External"/><Relationship Id="rId28" Type="http://schemas.openxmlformats.org/officeDocument/2006/relationships/hyperlink" Target="https://www.dgca.gov.in/digigov-portal/?page=jsp/dgca/common/droneRules.jsp" TargetMode="External"/><Relationship Id="rId27" Type="http://schemas.openxmlformats.org/officeDocument/2006/relationships/hyperlink" Target="https://www.dgca.gov.in/digigov-portal/?page=jsp/dgca/common/droneRules.jsp" TargetMode="External"/><Relationship Id="rId29" Type="http://schemas.openxmlformats.org/officeDocument/2006/relationships/hyperlink" Target="https://www.dgca.gov.in/digigov-portal/?page=jsp/dgca/common/droneRules.jsp" TargetMode="External"/><Relationship Id="rId51" Type="http://schemas.openxmlformats.org/officeDocument/2006/relationships/hyperlink" Target="https://www.dgca.gov.in/digigov-portal/?page=jsp/dgca/common/droneRules.jsp" TargetMode="External"/><Relationship Id="rId50" Type="http://schemas.openxmlformats.org/officeDocument/2006/relationships/hyperlink" Target="https://www.dgca.gov.in/digigov-portal/?page=jsp/dgca/common/droneRules.jsp" TargetMode="External"/><Relationship Id="rId53" Type="http://schemas.openxmlformats.org/officeDocument/2006/relationships/hyperlink" Target="https://www.dgca.gov.in/digigov-portal/?page=jsp/dgca/common/droneRules.jsp" TargetMode="External"/><Relationship Id="rId52" Type="http://schemas.openxmlformats.org/officeDocument/2006/relationships/hyperlink" Target="https://www.dgca.gov.in/digigov-portal/?page=jsp/dgca/common/droneRules.jsp" TargetMode="External"/><Relationship Id="rId11" Type="http://schemas.openxmlformats.org/officeDocument/2006/relationships/hyperlink" Target="https://www.dgca.gov.in/digigov-portal/?page=jsp/dgca/common/droneRules.jsp" TargetMode="External"/><Relationship Id="rId55" Type="http://schemas.openxmlformats.org/officeDocument/2006/relationships/hyperlink" Target="https://www.dgca.gov.in/digigov-portal/?page=jsp/dgca/common/droneRules.jsp" TargetMode="External"/><Relationship Id="rId10" Type="http://schemas.openxmlformats.org/officeDocument/2006/relationships/hyperlink" Target="https://www.dgca.gov.in/digigov-portal/?page=jsp/dgca/common/droneRules.jsp" TargetMode="External"/><Relationship Id="rId54" Type="http://schemas.openxmlformats.org/officeDocument/2006/relationships/hyperlink" Target="https://www.dgca.gov.in/digigov-portal/?page=jsp/dgca/common/droneRules.jsp" TargetMode="External"/><Relationship Id="rId13" Type="http://schemas.openxmlformats.org/officeDocument/2006/relationships/hyperlink" Target="https://www.dgca.gov.in/digigov-portal/?page=jsp/dgca/common/droneRules.jsp" TargetMode="External"/><Relationship Id="rId57" Type="http://schemas.openxmlformats.org/officeDocument/2006/relationships/hyperlink" Target="https://www.dgca.gov.in/digigov-portal/?page=jsp/dgca/common/droneRules.jsp" TargetMode="External"/><Relationship Id="rId12" Type="http://schemas.openxmlformats.org/officeDocument/2006/relationships/hyperlink" Target="https://www.dgca.gov.in/digigov-portal/?page=jsp/dgca/common/droneRules.jsp" TargetMode="External"/><Relationship Id="rId56" Type="http://schemas.openxmlformats.org/officeDocument/2006/relationships/hyperlink" Target="https://www.dgca.gov.in/digigov-portal/?page=jsp/dgca/common/droneRules.jsp" TargetMode="External"/><Relationship Id="rId15" Type="http://schemas.openxmlformats.org/officeDocument/2006/relationships/hyperlink" Target="https://www.dgca.gov.in/digigov-portal/?page=jsp/dgca/common/droneRules.jsp" TargetMode="External"/><Relationship Id="rId59" Type="http://schemas.openxmlformats.org/officeDocument/2006/relationships/hyperlink" Target="https://www.dgca.gov.in/digigov-portal/?page=jsp/dgca/common/droneRules.jsp" TargetMode="External"/><Relationship Id="rId14" Type="http://schemas.openxmlformats.org/officeDocument/2006/relationships/hyperlink" Target="https://www.dgca.gov.in/digigov-portal/?page=jsp/dgca/common/droneRules.jsp" TargetMode="External"/><Relationship Id="rId58" Type="http://schemas.openxmlformats.org/officeDocument/2006/relationships/hyperlink" Target="https://www.dgca.gov.in/digigov-portal/?page=jsp/dgca/common/droneRules.jsp" TargetMode="External"/><Relationship Id="rId17" Type="http://schemas.openxmlformats.org/officeDocument/2006/relationships/hyperlink" Target="https://www.dgca.gov.in/digigov-portal/?page=jsp/dgca/common/droneRules.jsp" TargetMode="External"/><Relationship Id="rId16" Type="http://schemas.openxmlformats.org/officeDocument/2006/relationships/hyperlink" Target="https://www.dgca.gov.in/digigov-portal/?page=jsp/dgca/common/droneRules.jsp" TargetMode="External"/><Relationship Id="rId19" Type="http://schemas.openxmlformats.org/officeDocument/2006/relationships/hyperlink" Target="https://www.dgca.gov.in/digigov-portal/?page=jsp/dgca/common/droneRules.jsp" TargetMode="External"/><Relationship Id="rId18" Type="http://schemas.openxmlformats.org/officeDocument/2006/relationships/hyperlink" Target="https://www.dgca.gov.in/digigov-portal/?page=jsp/dgca/common/droneRules.j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