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6ugdyhgvep5c" w:id="0"/>
      <w:bookmarkEnd w:id="0"/>
      <w:r w:rsidDel="00000000" w:rsidR="00000000" w:rsidRPr="00000000">
        <w:rPr>
          <w:rFonts w:ascii="Google Sans" w:cs="Google Sans" w:eastAsia="Google Sans" w:hAnsi="Google Sans"/>
          <w:b w:val="1"/>
          <w:color w:val="000000"/>
          <w:sz w:val="22"/>
          <w:szCs w:val="22"/>
          <w:rtl w:val="0"/>
        </w:rPr>
        <w:t xml:space="preserve">Purpose &amp; Goals</w:t>
      </w:r>
    </w:p>
    <w:p w:rsidR="00000000" w:rsidDel="00000000" w:rsidP="00000000" w:rsidRDefault="00000000" w:rsidRPr="00000000" w14:paraId="00000002">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Supplementing Government Efforts:</w:t>
      </w:r>
      <w:r w:rsidDel="00000000" w:rsidR="00000000" w:rsidRPr="00000000">
        <w:rPr>
          <w:rFonts w:ascii="Google Sans" w:cs="Google Sans" w:eastAsia="Google Sans" w:hAnsi="Google Sans"/>
          <w:sz w:val="24"/>
          <w:szCs w:val="24"/>
          <w:rtl w:val="0"/>
        </w:rPr>
        <w:t xml:space="preserve"> The platform is designed to support the government-led response framework. It will provide a tool for international humanitarian partners (UN agencies, NGOs) to coordinate their activities and align them with the priorities set by the NDMA. (Source:</w:t>
      </w:r>
      <w:hyperlink r:id="rId6">
        <w:r w:rsidDel="00000000" w:rsidR="00000000" w:rsidRPr="00000000">
          <w:rPr>
            <w:rFonts w:ascii="Google Sans" w:cs="Google Sans" w:eastAsia="Google Sans" w:hAnsi="Google Sans"/>
            <w:sz w:val="24"/>
            <w:szCs w:val="24"/>
            <w:rtl w:val="0"/>
          </w:rPr>
          <w:t xml:space="preserve"> </w:t>
        </w:r>
      </w:hyperlink>
      <w:hyperlink r:id="rId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Needs-Based Response:</w:t>
      </w:r>
      <w:r w:rsidDel="00000000" w:rsidR="00000000" w:rsidRPr="00000000">
        <w:rPr>
          <w:rFonts w:ascii="Google Sans" w:cs="Google Sans" w:eastAsia="Google Sans" w:hAnsi="Google Sans"/>
          <w:sz w:val="24"/>
          <w:szCs w:val="24"/>
          <w:rtl w:val="0"/>
        </w:rPr>
        <w:t xml:space="preserve"> The platform's data-driven approach, which clusters incidents and analyzes their severity, will help ensure a needs-based response, allowing humanitarian agencies to target aid more effectively. (Source:</w:t>
      </w:r>
      <w:hyperlink r:id="rId8">
        <w:r w:rsidDel="00000000" w:rsidR="00000000" w:rsidRPr="00000000">
          <w:rPr>
            <w:rFonts w:ascii="Google Sans" w:cs="Google Sans" w:eastAsia="Google Sans" w:hAnsi="Google Sans"/>
            <w:sz w:val="24"/>
            <w:szCs w:val="24"/>
            <w:rtl w:val="0"/>
          </w:rPr>
          <w:t xml:space="preserve"> </w:t>
        </w:r>
      </w:hyperlink>
      <w:hyperlink r:id="rId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4">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Strengthening Preparedness:</w:t>
      </w:r>
      <w:r w:rsidDel="00000000" w:rsidR="00000000" w:rsidRPr="00000000">
        <w:rPr>
          <w:rFonts w:ascii="Google Sans" w:cs="Google Sans" w:eastAsia="Google Sans" w:hAnsi="Google Sans"/>
          <w:sz w:val="24"/>
          <w:szCs w:val="24"/>
          <w:rtl w:val="0"/>
        </w:rPr>
        <w:t xml:space="preserve"> By providing a continuous monitoring and analysis tool, the platform will help strengthen system-wide preparedness, a key goal of the Cluster System, enabling better planning before a disaster strikes. (Source:</w:t>
      </w:r>
      <w:hyperlink r:id="rId10">
        <w:r w:rsidDel="00000000" w:rsidR="00000000" w:rsidRPr="00000000">
          <w:rPr>
            <w:rFonts w:ascii="Google Sans" w:cs="Google Sans" w:eastAsia="Google Sans" w:hAnsi="Google Sans"/>
            <w:sz w:val="24"/>
            <w:szCs w:val="24"/>
            <w:rtl w:val="0"/>
          </w:rPr>
          <w:t xml:space="preserve"> </w:t>
        </w:r>
      </w:hyperlink>
      <w:hyperlink r:id="rId1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5">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Facilitating Coordinated DRR:</w:t>
      </w:r>
      <w:r w:rsidDel="00000000" w:rsidR="00000000" w:rsidRPr="00000000">
        <w:rPr>
          <w:rFonts w:ascii="Google Sans" w:cs="Google Sans" w:eastAsia="Google Sans" w:hAnsi="Google Sans"/>
          <w:sz w:val="24"/>
          <w:szCs w:val="24"/>
          <w:rtl w:val="0"/>
        </w:rPr>
        <w:t xml:space="preserve"> The platform's data analytics can be used to identify high-risk areas and recurring incident types, facilitating a coordinated approach to Disaster Risk Reduction (DRR) among government and humanitarian partners. (Source:</w:t>
      </w:r>
      <w:hyperlink r:id="rId12">
        <w:r w:rsidDel="00000000" w:rsidR="00000000" w:rsidRPr="00000000">
          <w:rPr>
            <w:rFonts w:ascii="Google Sans" w:cs="Google Sans" w:eastAsia="Google Sans" w:hAnsi="Google Sans"/>
            <w:sz w:val="24"/>
            <w:szCs w:val="24"/>
            <w:rtl w:val="0"/>
          </w:rPr>
          <w:t xml:space="preserve"> </w:t>
        </w:r>
      </w:hyperlink>
      <w:hyperlink r:id="rId1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yr324ow9vd16" w:id="1"/>
      <w:bookmarkEnd w:id="1"/>
      <w:r w:rsidDel="00000000" w:rsidR="00000000" w:rsidRPr="00000000">
        <w:rPr>
          <w:rFonts w:ascii="Google Sans" w:cs="Google Sans" w:eastAsia="Google Sans" w:hAnsi="Google Sans"/>
          <w:b w:val="1"/>
          <w:color w:val="000000"/>
          <w:sz w:val="22"/>
          <w:szCs w:val="22"/>
          <w:rtl w:val="0"/>
        </w:rPr>
        <w:t xml:space="preserve">Stakeholders &amp; Roles</w:t>
      </w:r>
    </w:p>
    <w:p w:rsidR="00000000" w:rsidDel="00000000" w:rsidP="00000000" w:rsidRDefault="00000000" w:rsidRPr="00000000" w14:paraId="00000007">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UN Agencies (OCHA, UNICEF, WFP):</w:t>
      </w:r>
      <w:r w:rsidDel="00000000" w:rsidR="00000000" w:rsidRPr="00000000">
        <w:rPr>
          <w:rFonts w:ascii="Google Sans" w:cs="Google Sans" w:eastAsia="Google Sans" w:hAnsi="Google Sans"/>
          <w:sz w:val="24"/>
          <w:szCs w:val="24"/>
          <w:rtl w:val="0"/>
        </w:rPr>
        <w:t xml:space="preserve"> These agencies can be given specific roles within the platform to co-lead and coordinate response in their respective sectors (e.g., Health, Logistics), using the platform's data to inform their strategies. (Source:</w:t>
      </w:r>
      <w:hyperlink r:id="rId14">
        <w:r w:rsidDel="00000000" w:rsidR="00000000" w:rsidRPr="00000000">
          <w:rPr>
            <w:rFonts w:ascii="Google Sans" w:cs="Google Sans" w:eastAsia="Google Sans" w:hAnsi="Google Sans"/>
            <w:sz w:val="24"/>
            <w:szCs w:val="24"/>
            <w:rtl w:val="0"/>
          </w:rPr>
          <w:t xml:space="preserve"> </w:t>
        </w:r>
      </w:hyperlink>
      <w:hyperlink r:id="rId1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Sphere India &amp; Inter-Agency Groups (IAGs):</w:t>
      </w:r>
      <w:r w:rsidDel="00000000" w:rsidR="00000000" w:rsidRPr="00000000">
        <w:rPr>
          <w:rFonts w:ascii="Google Sans" w:cs="Google Sans" w:eastAsia="Google Sans" w:hAnsi="Google Sans"/>
          <w:sz w:val="24"/>
          <w:szCs w:val="24"/>
          <w:rtl w:val="0"/>
        </w:rPr>
        <w:t xml:space="preserve"> These coordinating bodies will use the platform as their primary tool for information sharing, de-conflicting activities, and managing the 4W Matrix among their member NGOs. (Source:</w:t>
      </w:r>
      <w:hyperlink r:id="rId16">
        <w:r w:rsidDel="00000000" w:rsidR="00000000" w:rsidRPr="00000000">
          <w:rPr>
            <w:rFonts w:ascii="Google Sans" w:cs="Google Sans" w:eastAsia="Google Sans" w:hAnsi="Google Sans"/>
            <w:sz w:val="24"/>
            <w:szCs w:val="24"/>
            <w:rtl w:val="0"/>
          </w:rPr>
          <w:t xml:space="preserve"> </w:t>
        </w:r>
      </w:hyperlink>
      <w:hyperlink r:id="rId1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NGOs &amp; Civil Society Organizations (CSOs):</w:t>
      </w:r>
      <w:r w:rsidDel="00000000" w:rsidR="00000000" w:rsidRPr="00000000">
        <w:rPr>
          <w:rFonts w:ascii="Google Sans" w:cs="Google Sans" w:eastAsia="Google Sans" w:hAnsi="Google Sans"/>
          <w:sz w:val="24"/>
          <w:szCs w:val="24"/>
          <w:rtl w:val="0"/>
        </w:rPr>
        <w:t xml:space="preserve"> Field-level NGOs will use the platform's mobile app to report on their activities, receive alerts, and access the common operational picture, ensuring their work is integrated into the larger response. (Source:</w:t>
      </w:r>
      <w:hyperlink r:id="rId18">
        <w:r w:rsidDel="00000000" w:rsidR="00000000" w:rsidRPr="00000000">
          <w:rPr>
            <w:rFonts w:ascii="Google Sans" w:cs="Google Sans" w:eastAsia="Google Sans" w:hAnsi="Google Sans"/>
            <w:sz w:val="24"/>
            <w:szCs w:val="24"/>
            <w:rtl w:val="0"/>
          </w:rPr>
          <w:t xml:space="preserve"> </w:t>
        </w:r>
      </w:hyperlink>
      <w:hyperlink r:id="rId1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Affected Communities:</w:t>
      </w:r>
      <w:r w:rsidDel="00000000" w:rsidR="00000000" w:rsidRPr="00000000">
        <w:rPr>
          <w:rFonts w:ascii="Google Sans" w:cs="Google Sans" w:eastAsia="Google Sans" w:hAnsi="Google Sans"/>
          <w:sz w:val="24"/>
          <w:szCs w:val="24"/>
          <w:rtl w:val="0"/>
        </w:rPr>
        <w:t xml:space="preserve"> The platform will include a module for logging qualitative data and feedback from affected communities, ensuring the response is accountable and aligns with the principle of "Accountability to Affected Populations" (AAP). (Source:</w:t>
      </w:r>
      <w:hyperlink r:id="rId20">
        <w:r w:rsidDel="00000000" w:rsidR="00000000" w:rsidRPr="00000000">
          <w:rPr>
            <w:rFonts w:ascii="Google Sans" w:cs="Google Sans" w:eastAsia="Google Sans" w:hAnsi="Google Sans"/>
            <w:sz w:val="24"/>
            <w:szCs w:val="24"/>
            <w:rtl w:val="0"/>
          </w:rPr>
          <w:t xml:space="preserve"> </w:t>
        </w:r>
      </w:hyperlink>
      <w:hyperlink r:id="rId2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bmv7y4w8zd8g" w:id="2"/>
      <w:bookmarkEnd w:id="2"/>
      <w:r w:rsidDel="00000000" w:rsidR="00000000" w:rsidRPr="00000000">
        <w:rPr>
          <w:rFonts w:ascii="Google Sans" w:cs="Google Sans" w:eastAsia="Google Sans" w:hAnsi="Google Sans"/>
          <w:b w:val="1"/>
          <w:color w:val="000000"/>
          <w:sz w:val="22"/>
          <w:szCs w:val="22"/>
          <w:rtl w:val="0"/>
        </w:rPr>
        <w:t xml:space="preserve">Processes &amp; Workflows</w:t>
      </w:r>
    </w:p>
    <w:p w:rsidR="00000000" w:rsidDel="00000000" w:rsidP="00000000" w:rsidRDefault="00000000" w:rsidRPr="00000000" w14:paraId="0000000C">
      <w:pPr>
        <w:widowControl w:val="0"/>
        <w:numPr>
          <w:ilvl w:val="0"/>
          <w:numId w:val="8"/>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Automated 4W Matrix (Who, What, Where, When):</w:t>
      </w:r>
      <w:r w:rsidDel="00000000" w:rsidR="00000000" w:rsidRPr="00000000">
        <w:rPr>
          <w:rFonts w:ascii="Google Sans" w:cs="Google Sans" w:eastAsia="Google Sans" w:hAnsi="Google Sans"/>
          <w:sz w:val="24"/>
          <w:szCs w:val="24"/>
          <w:rtl w:val="0"/>
        </w:rPr>
        <w:t xml:space="preserve"> The platform will automate the creation of the 4W Matrix. As agencies update their tasks and locations in real-time, the platform will dynamically generate maps and dashboards showing who is doing what, where, and when, instantly identifying gaps and overlaps. (Source:</w:t>
      </w:r>
      <w:hyperlink r:id="rId22">
        <w:r w:rsidDel="00000000" w:rsidR="00000000" w:rsidRPr="00000000">
          <w:rPr>
            <w:rFonts w:ascii="Google Sans" w:cs="Google Sans" w:eastAsia="Google Sans" w:hAnsi="Google Sans"/>
            <w:sz w:val="24"/>
            <w:szCs w:val="24"/>
            <w:rtl w:val="0"/>
          </w:rPr>
          <w:t xml:space="preserve"> </w:t>
        </w:r>
      </w:hyperlink>
      <w:hyperlink r:id="rId2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D">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Joint Rapid Needs Assessment (JRNA) Support:</w:t>
      </w:r>
      <w:r w:rsidDel="00000000" w:rsidR="00000000" w:rsidRPr="00000000">
        <w:rPr>
          <w:rFonts w:ascii="Google Sans" w:cs="Google Sans" w:eastAsia="Google Sans" w:hAnsi="Google Sans"/>
          <w:sz w:val="24"/>
          <w:szCs w:val="24"/>
          <w:rtl w:val="0"/>
        </w:rPr>
        <w:t xml:space="preserve"> The platform will support the JRNA process by providing an initial, data-driven overview of affected areas. Field assessment teams can then use the mobile app to submit standardized assessment forms directly into the system. (Source:</w:t>
      </w:r>
      <w:hyperlink r:id="rId24">
        <w:r w:rsidDel="00000000" w:rsidR="00000000" w:rsidRPr="00000000">
          <w:rPr>
            <w:rFonts w:ascii="Google Sans" w:cs="Google Sans" w:eastAsia="Google Sans" w:hAnsi="Google Sans"/>
            <w:sz w:val="24"/>
            <w:szCs w:val="24"/>
            <w:rtl w:val="0"/>
          </w:rPr>
          <w:t xml:space="preserve"> </w:t>
        </w:r>
      </w:hyperlink>
      <w:hyperlink r:id="rId2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E">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Coordination Meeting Workflow:</w:t>
      </w:r>
      <w:r w:rsidDel="00000000" w:rsidR="00000000" w:rsidRPr="00000000">
        <w:rPr>
          <w:rFonts w:ascii="Google Sans" w:cs="Google Sans" w:eastAsia="Google Sans" w:hAnsi="Google Sans"/>
          <w:sz w:val="24"/>
          <w:szCs w:val="24"/>
          <w:rtl w:val="0"/>
        </w:rPr>
        <w:t xml:space="preserve"> The platform will serve as the central information source for coordination meetings. Action points from meetings can be logged and assigned as tasks within the system, ensuring accountability and follow-up. (Source:</w:t>
      </w:r>
      <w:hyperlink r:id="rId26">
        <w:r w:rsidDel="00000000" w:rsidR="00000000" w:rsidRPr="00000000">
          <w:rPr>
            <w:rFonts w:ascii="Google Sans" w:cs="Google Sans" w:eastAsia="Google Sans" w:hAnsi="Google Sans"/>
            <w:sz w:val="24"/>
            <w:szCs w:val="24"/>
            <w:rtl w:val="0"/>
          </w:rPr>
          <w:t xml:space="preserve"> </w:t>
        </w:r>
      </w:hyperlink>
      <w:hyperlink r:id="rId2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widowControl w:val="0"/>
        <w:numPr>
          <w:ilvl w:val="0"/>
          <w:numId w:val="8"/>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Transition to Recovery (PDNA):</w:t>
      </w:r>
      <w:r w:rsidDel="00000000" w:rsidR="00000000" w:rsidRPr="00000000">
        <w:rPr>
          <w:rFonts w:ascii="Google Sans" w:cs="Google Sans" w:eastAsia="Google Sans" w:hAnsi="Google Sans"/>
          <w:sz w:val="24"/>
          <w:szCs w:val="24"/>
          <w:rtl w:val="0"/>
        </w:rPr>
        <w:t xml:space="preserve"> The platform's comprehensive data archive for a disaster will provide a foundational dataset for the Post-Disaster Needs Assessment (PDNA), helping to guide long-term recovery and reconstruction planning. (Source:</w:t>
      </w:r>
      <w:hyperlink r:id="rId28">
        <w:r w:rsidDel="00000000" w:rsidR="00000000" w:rsidRPr="00000000">
          <w:rPr>
            <w:rFonts w:ascii="Google Sans" w:cs="Google Sans" w:eastAsia="Google Sans" w:hAnsi="Google Sans"/>
            <w:sz w:val="24"/>
            <w:szCs w:val="24"/>
            <w:rtl w:val="0"/>
          </w:rPr>
          <w:t xml:space="preserve"> </w:t>
        </w:r>
      </w:hyperlink>
      <w:hyperlink r:id="rId2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fjrq6rgvah2" w:id="3"/>
      <w:bookmarkEnd w:id="3"/>
      <w:r w:rsidDel="00000000" w:rsidR="00000000" w:rsidRPr="00000000">
        <w:rPr>
          <w:rFonts w:ascii="Google Sans" w:cs="Google Sans" w:eastAsia="Google Sans" w:hAnsi="Google Sans"/>
          <w:b w:val="1"/>
          <w:color w:val="000000"/>
          <w:sz w:val="22"/>
          <w:szCs w:val="22"/>
          <w:rtl w:val="0"/>
        </w:rPr>
        <w:t xml:space="preserve">Data Requirements</w:t>
      </w:r>
    </w:p>
    <w:p w:rsidR="00000000" w:rsidDel="00000000" w:rsidP="00000000" w:rsidRDefault="00000000" w:rsidRPr="00000000" w14:paraId="00000011">
      <w:pPr>
        <w:widowControl w:val="0"/>
        <w:numPr>
          <w:ilvl w:val="0"/>
          <w:numId w:val="9"/>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Standardized 4W Data:</w:t>
      </w:r>
      <w:r w:rsidDel="00000000" w:rsidR="00000000" w:rsidRPr="00000000">
        <w:rPr>
          <w:rFonts w:ascii="Google Sans" w:cs="Google Sans" w:eastAsia="Google Sans" w:hAnsi="Google Sans"/>
          <w:sz w:val="24"/>
          <w:szCs w:val="24"/>
          <w:rtl w:val="0"/>
        </w:rPr>
        <w:t xml:space="preserve"> The platform will enforce standardized reporting from all agencies on their activities, requiring them to input the sector, location, and timeline for each intervention to populate the 4W database correctly. (Source:</w:t>
      </w:r>
      <w:hyperlink r:id="rId30">
        <w:r w:rsidDel="00000000" w:rsidR="00000000" w:rsidRPr="00000000">
          <w:rPr>
            <w:rFonts w:ascii="Google Sans" w:cs="Google Sans" w:eastAsia="Google Sans" w:hAnsi="Google Sans"/>
            <w:sz w:val="24"/>
            <w:szCs w:val="24"/>
            <w:rtl w:val="0"/>
          </w:rPr>
          <w:t xml:space="preserve"> </w:t>
        </w:r>
      </w:hyperlink>
      <w:hyperlink r:id="rId3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2">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Baseline Data Integration:</w:t>
      </w:r>
      <w:r w:rsidDel="00000000" w:rsidR="00000000" w:rsidRPr="00000000">
        <w:rPr>
          <w:rFonts w:ascii="Google Sans" w:cs="Google Sans" w:eastAsia="Google Sans" w:hAnsi="Google Sans"/>
          <w:sz w:val="24"/>
          <w:szCs w:val="24"/>
          <w:rtl w:val="0"/>
        </w:rPr>
        <w:t xml:space="preserve"> The platform must integrate with baseline data sources like the India Disaster Resource Network (IDRN) to provide context on population demographics, infrastructure, and pre-disaster vulnerabilities. (Source:</w:t>
      </w:r>
      <w:hyperlink r:id="rId32">
        <w:r w:rsidDel="00000000" w:rsidR="00000000" w:rsidRPr="00000000">
          <w:rPr>
            <w:rFonts w:ascii="Google Sans" w:cs="Google Sans" w:eastAsia="Google Sans" w:hAnsi="Google Sans"/>
            <w:sz w:val="24"/>
            <w:szCs w:val="24"/>
            <w:rtl w:val="0"/>
          </w:rPr>
          <w:t xml:space="preserve"> </w:t>
        </w:r>
      </w:hyperlink>
      <w:hyperlink r:id="rId3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3">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Geospatial Data from NRSC:</w:t>
      </w:r>
      <w:r w:rsidDel="00000000" w:rsidR="00000000" w:rsidRPr="00000000">
        <w:rPr>
          <w:rFonts w:ascii="Google Sans" w:cs="Google Sans" w:eastAsia="Google Sans" w:hAnsi="Google Sans"/>
          <w:sz w:val="24"/>
          <w:szCs w:val="24"/>
          <w:rtl w:val="0"/>
        </w:rPr>
        <w:t xml:space="preserve"> The platform will be designed to ingest and overlay geospatial data and satellite imagery from government sources like the National Remote Sensing Centre (NRSC) for damage assessment. (Source:</w:t>
      </w:r>
      <w:hyperlink r:id="rId34">
        <w:r w:rsidDel="00000000" w:rsidR="00000000" w:rsidRPr="00000000">
          <w:rPr>
            <w:rFonts w:ascii="Google Sans" w:cs="Google Sans" w:eastAsia="Google Sans" w:hAnsi="Google Sans"/>
            <w:sz w:val="24"/>
            <w:szCs w:val="24"/>
            <w:rtl w:val="0"/>
          </w:rPr>
          <w:t xml:space="preserve"> </w:t>
        </w:r>
      </w:hyperlink>
      <w:hyperlink r:id="rId3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widowControl w:val="0"/>
        <w:numPr>
          <w:ilvl w:val="0"/>
          <w:numId w:val="9"/>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Community Feedback:</w:t>
      </w:r>
      <w:r w:rsidDel="00000000" w:rsidR="00000000" w:rsidRPr="00000000">
        <w:rPr>
          <w:rFonts w:ascii="Google Sans" w:cs="Google Sans" w:eastAsia="Google Sans" w:hAnsi="Google Sans"/>
          <w:sz w:val="24"/>
          <w:szCs w:val="24"/>
          <w:rtl w:val="0"/>
        </w:rPr>
        <w:t xml:space="preserve"> The platform will include a module for logging qualitative data and feedback from affected communities, ensuring that the response is accountable and can be adjusted based on community input. (Source:</w:t>
      </w:r>
      <w:hyperlink r:id="rId36">
        <w:r w:rsidDel="00000000" w:rsidR="00000000" w:rsidRPr="00000000">
          <w:rPr>
            <w:rFonts w:ascii="Google Sans" w:cs="Google Sans" w:eastAsia="Google Sans" w:hAnsi="Google Sans"/>
            <w:sz w:val="24"/>
            <w:szCs w:val="24"/>
            <w:rtl w:val="0"/>
          </w:rPr>
          <w:t xml:space="preserve"> </w:t>
        </w:r>
      </w:hyperlink>
      <w:hyperlink r:id="rId3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nt73awrt8p5b" w:id="4"/>
      <w:bookmarkEnd w:id="4"/>
      <w:r w:rsidDel="00000000" w:rsidR="00000000" w:rsidRPr="00000000">
        <w:rPr>
          <w:rFonts w:ascii="Google Sans" w:cs="Google Sans" w:eastAsia="Google Sans" w:hAnsi="Google Sans"/>
          <w:b w:val="1"/>
          <w:color w:val="000000"/>
          <w:sz w:val="22"/>
          <w:szCs w:val="22"/>
          <w:rtl w:val="0"/>
        </w:rPr>
        <w:t xml:space="preserve">Constraints &amp; Rules</w:t>
      </w:r>
    </w:p>
    <w:p w:rsidR="00000000" w:rsidDel="00000000" w:rsidP="00000000" w:rsidRDefault="00000000" w:rsidRPr="00000000" w14:paraId="00000016">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Government Primacy:</w:t>
      </w:r>
      <w:r w:rsidDel="00000000" w:rsidR="00000000" w:rsidRPr="00000000">
        <w:rPr>
          <w:rFonts w:ascii="Google Sans" w:cs="Google Sans" w:eastAsia="Google Sans" w:hAnsi="Google Sans"/>
          <w:sz w:val="24"/>
          <w:szCs w:val="24"/>
          <w:rtl w:val="0"/>
        </w:rPr>
        <w:t xml:space="preserve"> The platform's architecture will reinforce the principle of government primacy. All user roles for humanitarian agencies will be configured to support, not supersede, the government's coordination and decision-making authority. (Source:</w:t>
      </w:r>
      <w:hyperlink r:id="rId38">
        <w:r w:rsidDel="00000000" w:rsidR="00000000" w:rsidRPr="00000000">
          <w:rPr>
            <w:rFonts w:ascii="Google Sans" w:cs="Google Sans" w:eastAsia="Google Sans" w:hAnsi="Google Sans"/>
            <w:sz w:val="24"/>
            <w:szCs w:val="24"/>
            <w:rtl w:val="0"/>
          </w:rPr>
          <w:t xml:space="preserve"> </w:t>
        </w:r>
      </w:hyperlink>
      <w:hyperlink r:id="rId3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Data Sharing Protocols:</w:t>
      </w:r>
      <w:r w:rsidDel="00000000" w:rsidR="00000000" w:rsidRPr="00000000">
        <w:rPr>
          <w:rFonts w:ascii="Google Sans" w:cs="Google Sans" w:eastAsia="Google Sans" w:hAnsi="Google Sans"/>
          <w:sz w:val="24"/>
          <w:szCs w:val="24"/>
          <w:rtl w:val="0"/>
        </w:rPr>
        <w:t xml:space="preserve"> The platform will have built-in data sharing rules. Sensitive data will be restricted, while operational data (like 4W information) will be shared among relevant partners to facilitate coordination, overcoming the challenge of agency-specific data silos. (Source:</w:t>
      </w:r>
      <w:hyperlink r:id="rId40">
        <w:r w:rsidDel="00000000" w:rsidR="00000000" w:rsidRPr="00000000">
          <w:rPr>
            <w:rFonts w:ascii="Google Sans" w:cs="Google Sans" w:eastAsia="Google Sans" w:hAnsi="Google Sans"/>
            <w:sz w:val="24"/>
            <w:szCs w:val="24"/>
            <w:rtl w:val="0"/>
          </w:rPr>
          <w:t xml:space="preserve"> </w:t>
        </w:r>
      </w:hyperlink>
      <w:hyperlink r:id="rId4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8">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Foreign Contribution (Regulation) Act (FCRA):</w:t>
      </w:r>
      <w:r w:rsidDel="00000000" w:rsidR="00000000" w:rsidRPr="00000000">
        <w:rPr>
          <w:rFonts w:ascii="Google Sans" w:cs="Google Sans" w:eastAsia="Google Sans" w:hAnsi="Google Sans"/>
          <w:sz w:val="24"/>
          <w:szCs w:val="24"/>
          <w:rtl w:val="0"/>
        </w:rPr>
        <w:t xml:space="preserve"> The platform's reporting modules for NGOs will be designed to be simple and not impose additional administrative burdens that could conflict with the complex reporting requirements of the FCRA. (Source:</w:t>
      </w:r>
      <w:hyperlink r:id="rId42">
        <w:r w:rsidDel="00000000" w:rsidR="00000000" w:rsidRPr="00000000">
          <w:rPr>
            <w:rFonts w:ascii="Google Sans" w:cs="Google Sans" w:eastAsia="Google Sans" w:hAnsi="Google Sans"/>
            <w:sz w:val="24"/>
            <w:szCs w:val="24"/>
            <w:rtl w:val="0"/>
          </w:rPr>
          <w:t xml:space="preserve"> </w:t>
        </w:r>
      </w:hyperlink>
      <w:hyperlink r:id="rId4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9">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9uxcvh6l4naf" w:id="5"/>
      <w:bookmarkEnd w:id="5"/>
      <w:r w:rsidDel="00000000" w:rsidR="00000000" w:rsidRPr="00000000">
        <w:rPr>
          <w:rFonts w:ascii="Google Sans" w:cs="Google Sans" w:eastAsia="Google Sans" w:hAnsi="Google Sans"/>
          <w:b w:val="1"/>
          <w:color w:val="000000"/>
          <w:sz w:val="22"/>
          <w:szCs w:val="22"/>
          <w:rtl w:val="0"/>
        </w:rPr>
        <w:t xml:space="preserve">Non-Functional Needs</w:t>
      </w:r>
    </w:p>
    <w:p w:rsidR="00000000" w:rsidDel="00000000" w:rsidP="00000000" w:rsidRDefault="00000000" w:rsidRPr="00000000" w14:paraId="0000001A">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Scalability:</w:t>
      </w:r>
      <w:r w:rsidDel="00000000" w:rsidR="00000000" w:rsidRPr="00000000">
        <w:rPr>
          <w:rFonts w:ascii="Google Sans" w:cs="Google Sans" w:eastAsia="Google Sans" w:hAnsi="Google Sans"/>
          <w:sz w:val="24"/>
          <w:szCs w:val="24"/>
          <w:rtl w:val="0"/>
        </w:rPr>
        <w:t xml:space="preserve"> The coordination modules must be able to rapidly scale up from a small, localized event to a large-scale disaster affecting hundreds of agencies and thousands of users. (Source:</w:t>
      </w:r>
      <w:hyperlink r:id="rId44">
        <w:r w:rsidDel="00000000" w:rsidR="00000000" w:rsidRPr="00000000">
          <w:rPr>
            <w:rFonts w:ascii="Google Sans" w:cs="Google Sans" w:eastAsia="Google Sans" w:hAnsi="Google Sans"/>
            <w:sz w:val="24"/>
            <w:szCs w:val="24"/>
            <w:rtl w:val="0"/>
          </w:rPr>
          <w:t xml:space="preserve"> </w:t>
        </w:r>
      </w:hyperlink>
      <w:hyperlink r:id="rId4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Interoperability:</w:t>
      </w:r>
      <w:r w:rsidDel="00000000" w:rsidR="00000000" w:rsidRPr="00000000">
        <w:rPr>
          <w:rFonts w:ascii="Google Sans" w:cs="Google Sans" w:eastAsia="Google Sans" w:hAnsi="Google Sans"/>
          <w:sz w:val="24"/>
          <w:szCs w:val="24"/>
          <w:rtl w:val="0"/>
        </w:rPr>
        <w:t xml:space="preserve"> The platform must be interoperable, allowing for the seamless exchange and aggregation of data from various reporting tools used by different NGOs and UN agencies. (Source:</w:t>
      </w:r>
      <w:hyperlink r:id="rId46">
        <w:r w:rsidDel="00000000" w:rsidR="00000000" w:rsidRPr="00000000">
          <w:rPr>
            <w:rFonts w:ascii="Google Sans" w:cs="Google Sans" w:eastAsia="Google Sans" w:hAnsi="Google Sans"/>
            <w:sz w:val="24"/>
            <w:szCs w:val="24"/>
            <w:rtl w:val="0"/>
          </w:rPr>
          <w:t xml:space="preserve"> </w:t>
        </w:r>
      </w:hyperlink>
      <w:hyperlink r:id="rId4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C">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Usability:</w:t>
      </w:r>
      <w:r w:rsidDel="00000000" w:rsidR="00000000" w:rsidRPr="00000000">
        <w:rPr>
          <w:rFonts w:ascii="Google Sans" w:cs="Google Sans" w:eastAsia="Google Sans" w:hAnsi="Google Sans"/>
          <w:sz w:val="24"/>
          <w:szCs w:val="24"/>
          <w:rtl w:val="0"/>
        </w:rPr>
        <w:t xml:space="preserve"> The platform's interface for field staff must be user-friendly and accessible, especially for those working in stressful conditions with limited training and connectivity. (Source:</w:t>
      </w:r>
      <w:hyperlink r:id="rId48">
        <w:r w:rsidDel="00000000" w:rsidR="00000000" w:rsidRPr="00000000">
          <w:rPr>
            <w:rFonts w:ascii="Google Sans" w:cs="Google Sans" w:eastAsia="Google Sans" w:hAnsi="Google Sans"/>
            <w:sz w:val="24"/>
            <w:szCs w:val="24"/>
            <w:rtl w:val="0"/>
          </w:rPr>
          <w:t xml:space="preserve"> </w:t>
        </w:r>
      </w:hyperlink>
      <w:hyperlink r:id="rId4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D">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6p07syuhpre0" w:id="6"/>
      <w:bookmarkEnd w:id="6"/>
      <w:r w:rsidDel="00000000" w:rsidR="00000000" w:rsidRPr="00000000">
        <w:rPr>
          <w:rFonts w:ascii="Google Sans" w:cs="Google Sans" w:eastAsia="Google Sans" w:hAnsi="Google Sans"/>
          <w:b w:val="1"/>
          <w:color w:val="000000"/>
          <w:sz w:val="22"/>
          <w:szCs w:val="22"/>
          <w:rtl w:val="0"/>
        </w:rPr>
        <w:t xml:space="preserve">Pain Points / Gaps</w:t>
      </w:r>
    </w:p>
    <w:p w:rsidR="00000000" w:rsidDel="00000000" w:rsidP="00000000" w:rsidRDefault="00000000" w:rsidRPr="00000000" w14:paraId="0000001E">
      <w:pPr>
        <w:widowControl w:val="0"/>
        <w:numPr>
          <w:ilvl w:val="0"/>
          <w:numId w:val="7"/>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Improving Civil-Military Coordination:</w:t>
      </w:r>
      <w:r w:rsidDel="00000000" w:rsidR="00000000" w:rsidRPr="00000000">
        <w:rPr>
          <w:rFonts w:ascii="Google Sans" w:cs="Google Sans" w:eastAsia="Google Sans" w:hAnsi="Google Sans"/>
          <w:sz w:val="24"/>
          <w:szCs w:val="24"/>
          <w:rtl w:val="0"/>
        </w:rPr>
        <w:t xml:space="preserve"> The platform will provide a dedicated, shared space where civilian and military actors can view the same operational picture, helping to de-conflict activities and clarify roles, addressing this identified gap. (Source:</w:t>
      </w:r>
      <w:hyperlink r:id="rId50">
        <w:r w:rsidDel="00000000" w:rsidR="00000000" w:rsidRPr="00000000">
          <w:rPr>
            <w:rFonts w:ascii="Google Sans" w:cs="Google Sans" w:eastAsia="Google Sans" w:hAnsi="Google Sans"/>
            <w:sz w:val="24"/>
            <w:szCs w:val="24"/>
            <w:rtl w:val="0"/>
          </w:rPr>
          <w:t xml:space="preserve"> </w:t>
        </w:r>
      </w:hyperlink>
      <w:hyperlink r:id="rId5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F">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Standardizing Needs Assessments:</w:t>
      </w:r>
      <w:r w:rsidDel="00000000" w:rsidR="00000000" w:rsidRPr="00000000">
        <w:rPr>
          <w:rFonts w:ascii="Google Sans" w:cs="Google Sans" w:eastAsia="Google Sans" w:hAnsi="Google Sans"/>
          <w:sz w:val="24"/>
          <w:szCs w:val="24"/>
          <w:rtl w:val="0"/>
        </w:rPr>
        <w:t xml:space="preserve"> The platform will provide standardized digital forms for needs assessments, addressing the lack of a unified process and reducing assessment fatigue among affected populations. (Source:</w:t>
      </w:r>
      <w:hyperlink r:id="rId52">
        <w:r w:rsidDel="00000000" w:rsidR="00000000" w:rsidRPr="00000000">
          <w:rPr>
            <w:rFonts w:ascii="Google Sans" w:cs="Google Sans" w:eastAsia="Google Sans" w:hAnsi="Google Sans"/>
            <w:sz w:val="24"/>
            <w:szCs w:val="24"/>
            <w:rtl w:val="0"/>
          </w:rPr>
          <w:t xml:space="preserve"> </w:t>
        </w:r>
      </w:hyperlink>
      <w:hyperlink r:id="rId5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0">
      <w:pPr>
        <w:widowControl w:val="0"/>
        <w:numPr>
          <w:ilvl w:val="0"/>
          <w:numId w:val="7"/>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Bridging the Relief to Recovery Gap:</w:t>
      </w:r>
      <w:r w:rsidDel="00000000" w:rsidR="00000000" w:rsidRPr="00000000">
        <w:rPr>
          <w:rFonts w:ascii="Google Sans" w:cs="Google Sans" w:eastAsia="Google Sans" w:hAnsi="Google Sans"/>
          <w:sz w:val="24"/>
          <w:szCs w:val="24"/>
          <w:rtl w:val="0"/>
        </w:rPr>
        <w:t xml:space="preserve"> By providing a continuous data record from the initial relief phase through to recovery, the platform will help bridge the programming gap, ensuring a smoother transition and better long-term planning. (Source:</w:t>
      </w:r>
      <w:hyperlink r:id="rId54">
        <w:r w:rsidDel="00000000" w:rsidR="00000000" w:rsidRPr="00000000">
          <w:rPr>
            <w:rFonts w:ascii="Google Sans" w:cs="Google Sans" w:eastAsia="Google Sans" w:hAnsi="Google Sans"/>
            <w:sz w:val="24"/>
            <w:szCs w:val="24"/>
            <w:rtl w:val="0"/>
          </w:rPr>
          <w:t xml:space="preserve"> </w:t>
        </w:r>
      </w:hyperlink>
      <w:hyperlink r:id="rId5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vx8pbz9gbp8q" w:id="7"/>
      <w:bookmarkEnd w:id="7"/>
      <w:r w:rsidDel="00000000" w:rsidR="00000000" w:rsidRPr="00000000">
        <w:rPr>
          <w:rFonts w:ascii="Google Sans" w:cs="Google Sans" w:eastAsia="Google Sans" w:hAnsi="Google Sans"/>
          <w:b w:val="1"/>
          <w:color w:val="000000"/>
          <w:sz w:val="22"/>
          <w:szCs w:val="22"/>
          <w:rtl w:val="0"/>
        </w:rPr>
        <w:t xml:space="preserve">Outputs &amp; Deliverables</w:t>
      </w:r>
    </w:p>
    <w:p w:rsidR="00000000" w:rsidDel="00000000" w:rsidP="00000000" w:rsidRDefault="00000000" w:rsidRPr="00000000" w14:paraId="00000022">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Live 4W Dashboards &amp; Maps:</w:t>
      </w:r>
      <w:r w:rsidDel="00000000" w:rsidR="00000000" w:rsidRPr="00000000">
        <w:rPr>
          <w:rFonts w:ascii="Google Sans" w:cs="Google Sans" w:eastAsia="Google Sans" w:hAnsi="Google Sans"/>
          <w:sz w:val="24"/>
          <w:szCs w:val="24"/>
          <w:rtl w:val="0"/>
        </w:rPr>
        <w:t xml:space="preserve"> The platform will produce live dashboards and maps visualizing the 4W matrix, providing an instant overview of the response for all coordinating bodies. (Source:</w:t>
      </w:r>
      <w:hyperlink r:id="rId56">
        <w:r w:rsidDel="00000000" w:rsidR="00000000" w:rsidRPr="00000000">
          <w:rPr>
            <w:rFonts w:ascii="Google Sans" w:cs="Google Sans" w:eastAsia="Google Sans" w:hAnsi="Google Sans"/>
            <w:sz w:val="24"/>
            <w:szCs w:val="24"/>
            <w:rtl w:val="0"/>
          </w:rPr>
          <w:t xml:space="preserve"> </w:t>
        </w:r>
      </w:hyperlink>
      <w:hyperlink r:id="rId5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3">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Consolidated Needs Assessment Reports:</w:t>
      </w:r>
      <w:r w:rsidDel="00000000" w:rsidR="00000000" w:rsidRPr="00000000">
        <w:rPr>
          <w:rFonts w:ascii="Google Sans" w:cs="Google Sans" w:eastAsia="Google Sans" w:hAnsi="Google Sans"/>
          <w:sz w:val="24"/>
          <w:szCs w:val="24"/>
          <w:rtl w:val="0"/>
        </w:rPr>
        <w:t xml:space="preserve"> The platform will aggregate data from field teams to produce consolidated JRNA and PDNA reports, providing a single evidence base for planning. (Source:</w:t>
      </w:r>
      <w:hyperlink r:id="rId58">
        <w:r w:rsidDel="00000000" w:rsidR="00000000" w:rsidRPr="00000000">
          <w:rPr>
            <w:rFonts w:ascii="Google Sans" w:cs="Google Sans" w:eastAsia="Google Sans" w:hAnsi="Google Sans"/>
            <w:sz w:val="24"/>
            <w:szCs w:val="24"/>
            <w:rtl w:val="0"/>
          </w:rPr>
          <w:t xml:space="preserve"> </w:t>
        </w:r>
      </w:hyperlink>
      <w:hyperlink r:id="rId59">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4">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Humanitarian Response Plans:</w:t>
      </w:r>
      <w:r w:rsidDel="00000000" w:rsidR="00000000" w:rsidRPr="00000000">
        <w:rPr>
          <w:rFonts w:ascii="Google Sans" w:cs="Google Sans" w:eastAsia="Google Sans" w:hAnsi="Google Sans"/>
          <w:sz w:val="24"/>
          <w:szCs w:val="24"/>
          <w:rtl w:val="0"/>
        </w:rPr>
        <w:t xml:space="preserve"> The platform can be used as a tool to draft, share, and monitor progress against a collective Humanitarian Response Plan, tracking activities and funding requirements. (Source:</w:t>
      </w:r>
      <w:hyperlink r:id="rId60">
        <w:r w:rsidDel="00000000" w:rsidR="00000000" w:rsidRPr="00000000">
          <w:rPr>
            <w:rFonts w:ascii="Google Sans" w:cs="Google Sans" w:eastAsia="Google Sans" w:hAnsi="Google Sans"/>
            <w:sz w:val="24"/>
            <w:szCs w:val="24"/>
            <w:rtl w:val="0"/>
          </w:rPr>
          <w:t xml:space="preserve"> </w:t>
        </w:r>
      </w:hyperlink>
      <w:hyperlink r:id="rId61">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5pylmp30hw90" w:id="8"/>
      <w:bookmarkEnd w:id="8"/>
      <w:r w:rsidDel="00000000" w:rsidR="00000000" w:rsidRPr="00000000">
        <w:rPr>
          <w:rFonts w:ascii="Google Sans" w:cs="Google Sans" w:eastAsia="Google Sans" w:hAnsi="Google Sans"/>
          <w:b w:val="1"/>
          <w:color w:val="000000"/>
          <w:sz w:val="22"/>
          <w:szCs w:val="22"/>
          <w:rtl w:val="0"/>
        </w:rPr>
        <w:t xml:space="preserve">Compliance &amp; Accountability</w:t>
      </w:r>
    </w:p>
    <w:p w:rsidR="00000000" w:rsidDel="00000000" w:rsidP="00000000" w:rsidRDefault="00000000" w:rsidRPr="00000000" w14:paraId="00000026">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Accountability to Affected Populations (AAP):</w:t>
      </w:r>
      <w:r w:rsidDel="00000000" w:rsidR="00000000" w:rsidRPr="00000000">
        <w:rPr>
          <w:rFonts w:ascii="Google Sans" w:cs="Google Sans" w:eastAsia="Google Sans" w:hAnsi="Google Sans"/>
          <w:sz w:val="24"/>
          <w:szCs w:val="24"/>
          <w:rtl w:val="0"/>
        </w:rPr>
        <w:t xml:space="preserve"> The platform will have a built-in community feedback module, allowing agencies to log and respond to complaints, ensuring compliance with AAP principles. (Source:</w:t>
      </w:r>
      <w:hyperlink r:id="rId62">
        <w:r w:rsidDel="00000000" w:rsidR="00000000" w:rsidRPr="00000000">
          <w:rPr>
            <w:rFonts w:ascii="Google Sans" w:cs="Google Sans" w:eastAsia="Google Sans" w:hAnsi="Google Sans"/>
            <w:sz w:val="24"/>
            <w:szCs w:val="24"/>
            <w:rtl w:val="0"/>
          </w:rPr>
          <w:t xml:space="preserve"> </w:t>
        </w:r>
      </w:hyperlink>
      <w:hyperlink r:id="rId63">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7">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Core Humanitarian Standard (CHS) Monitoring:</w:t>
      </w:r>
      <w:r w:rsidDel="00000000" w:rsidR="00000000" w:rsidRPr="00000000">
        <w:rPr>
          <w:rFonts w:ascii="Google Sans" w:cs="Google Sans" w:eastAsia="Google Sans" w:hAnsi="Google Sans"/>
          <w:sz w:val="24"/>
          <w:szCs w:val="24"/>
          <w:rtl w:val="0"/>
        </w:rPr>
        <w:t xml:space="preserve"> The platform's analytics can be used to monitor performance against the nine commitments of the Core Humanitarian Standard, helping agencies ensure the quality of their assistance. (Source:</w:t>
      </w:r>
      <w:hyperlink r:id="rId64">
        <w:r w:rsidDel="00000000" w:rsidR="00000000" w:rsidRPr="00000000">
          <w:rPr>
            <w:rFonts w:ascii="Google Sans" w:cs="Google Sans" w:eastAsia="Google Sans" w:hAnsi="Google Sans"/>
            <w:sz w:val="24"/>
            <w:szCs w:val="24"/>
            <w:rtl w:val="0"/>
          </w:rPr>
          <w:t xml:space="preserve"> </w:t>
        </w:r>
      </w:hyperlink>
      <w:hyperlink r:id="rId65">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8">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After-Action Reviews (AAR):</w:t>
      </w:r>
      <w:r w:rsidDel="00000000" w:rsidR="00000000" w:rsidRPr="00000000">
        <w:rPr>
          <w:rFonts w:ascii="Google Sans" w:cs="Google Sans" w:eastAsia="Google Sans" w:hAnsi="Google Sans"/>
          <w:sz w:val="24"/>
          <w:szCs w:val="24"/>
          <w:rtl w:val="0"/>
        </w:rPr>
        <w:t xml:space="preserve"> The platform's complete and chronological record of a response operation will serve as the primary data source for conducting After-Action Reviews, facilitating institutional learning and accountability. (Source:</w:t>
      </w:r>
      <w:hyperlink r:id="rId66">
        <w:r w:rsidDel="00000000" w:rsidR="00000000" w:rsidRPr="00000000">
          <w:rPr>
            <w:rFonts w:ascii="Google Sans" w:cs="Google Sans" w:eastAsia="Google Sans" w:hAnsi="Google Sans"/>
            <w:sz w:val="24"/>
            <w:szCs w:val="24"/>
            <w:rtl w:val="0"/>
          </w:rPr>
          <w:t xml:space="preserve"> </w:t>
        </w:r>
      </w:hyperlink>
      <w:hyperlink r:id="rId67">
        <w:r w:rsidDel="00000000" w:rsidR="00000000" w:rsidRPr="00000000">
          <w:rPr>
            <w:rFonts w:ascii="Google Sans" w:cs="Google Sans" w:eastAsia="Google Sans" w:hAnsi="Google Sans"/>
            <w:color w:val="1155cc"/>
            <w:sz w:val="24"/>
            <w:szCs w:val="24"/>
            <w:u w:val="single"/>
            <w:rtl w:val="0"/>
          </w:rPr>
          <w:t xml:space="preserve">https://www.unocha.org/sites/dms/Documents/Coordination_Toolkit/cluster_coordination.pdf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nocha.org/sites/dms/Documents/Coordination_Toolkit/cluster_coordination.pdf" TargetMode="External"/><Relationship Id="rId42" Type="http://schemas.openxmlformats.org/officeDocument/2006/relationships/hyperlink" Target="https://www.unocha.org/sites/dms/Documents/Coordination_Toolkit/cluster_coordination.pdf" TargetMode="External"/><Relationship Id="rId41" Type="http://schemas.openxmlformats.org/officeDocument/2006/relationships/hyperlink" Target="https://www.unocha.org/sites/dms/Documents/Coordination_Toolkit/cluster_coordination.pdf" TargetMode="External"/><Relationship Id="rId44" Type="http://schemas.openxmlformats.org/officeDocument/2006/relationships/hyperlink" Target="https://www.unocha.org/sites/dms/Documents/Coordination_Toolkit/cluster_coordination.pdf" TargetMode="External"/><Relationship Id="rId43" Type="http://schemas.openxmlformats.org/officeDocument/2006/relationships/hyperlink" Target="https://www.unocha.org/sites/dms/Documents/Coordination_Toolkit/cluster_coordination.pdf" TargetMode="External"/><Relationship Id="rId46" Type="http://schemas.openxmlformats.org/officeDocument/2006/relationships/hyperlink" Target="https://www.unocha.org/sites/dms/Documents/Coordination_Toolkit/cluster_coordination.pdf" TargetMode="External"/><Relationship Id="rId45" Type="http://schemas.openxmlformats.org/officeDocument/2006/relationships/hyperlink" Target="https://www.unocha.org/sites/dms/Documents/Coordination_Toolkit/cluster_coordinatio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ocha.org/sites/dms/Documents/Coordination_Toolkit/cluster_coordination.pdf" TargetMode="External"/><Relationship Id="rId48" Type="http://schemas.openxmlformats.org/officeDocument/2006/relationships/hyperlink" Target="https://www.unocha.org/sites/dms/Documents/Coordination_Toolkit/cluster_coordination.pdf" TargetMode="External"/><Relationship Id="rId47" Type="http://schemas.openxmlformats.org/officeDocument/2006/relationships/hyperlink" Target="https://www.unocha.org/sites/dms/Documents/Coordination_Toolkit/cluster_coordination.pdf" TargetMode="External"/><Relationship Id="rId49" Type="http://schemas.openxmlformats.org/officeDocument/2006/relationships/hyperlink" Target="https://www.unocha.org/sites/dms/Documents/Coordination_Toolkit/cluster_coordination.pdf" TargetMode="External"/><Relationship Id="rId5" Type="http://schemas.openxmlformats.org/officeDocument/2006/relationships/styles" Target="styles.xml"/><Relationship Id="rId6" Type="http://schemas.openxmlformats.org/officeDocument/2006/relationships/hyperlink" Target="https://www.unocha.org/sites/dms/Documents/Coordination_Toolkit/cluster_coordination.pdf" TargetMode="External"/><Relationship Id="rId7" Type="http://schemas.openxmlformats.org/officeDocument/2006/relationships/hyperlink" Target="https://www.unocha.org/sites/dms/Documents/Coordination_Toolkit/cluster_coordination.pdf" TargetMode="External"/><Relationship Id="rId8" Type="http://schemas.openxmlformats.org/officeDocument/2006/relationships/hyperlink" Target="https://www.unocha.org/sites/dms/Documents/Coordination_Toolkit/cluster_coordination.pdf" TargetMode="External"/><Relationship Id="rId31" Type="http://schemas.openxmlformats.org/officeDocument/2006/relationships/hyperlink" Target="https://www.unocha.org/sites/dms/Documents/Coordination_Toolkit/cluster_coordination.pdf" TargetMode="External"/><Relationship Id="rId30" Type="http://schemas.openxmlformats.org/officeDocument/2006/relationships/hyperlink" Target="https://www.unocha.org/sites/dms/Documents/Coordination_Toolkit/cluster_coordination.pdf" TargetMode="External"/><Relationship Id="rId33" Type="http://schemas.openxmlformats.org/officeDocument/2006/relationships/hyperlink" Target="https://www.unocha.org/sites/dms/Documents/Coordination_Toolkit/cluster_coordination.pdf" TargetMode="External"/><Relationship Id="rId32" Type="http://schemas.openxmlformats.org/officeDocument/2006/relationships/hyperlink" Target="https://www.unocha.org/sites/dms/Documents/Coordination_Toolkit/cluster_coordination.pdf" TargetMode="External"/><Relationship Id="rId35" Type="http://schemas.openxmlformats.org/officeDocument/2006/relationships/hyperlink" Target="https://www.unocha.org/sites/dms/Documents/Coordination_Toolkit/cluster_coordination.pdf" TargetMode="External"/><Relationship Id="rId34" Type="http://schemas.openxmlformats.org/officeDocument/2006/relationships/hyperlink" Target="https://www.unocha.org/sites/dms/Documents/Coordination_Toolkit/cluster_coordination.pdf" TargetMode="External"/><Relationship Id="rId37" Type="http://schemas.openxmlformats.org/officeDocument/2006/relationships/hyperlink" Target="https://www.unocha.org/sites/dms/Documents/Coordination_Toolkit/cluster_coordination.pdf" TargetMode="External"/><Relationship Id="rId36" Type="http://schemas.openxmlformats.org/officeDocument/2006/relationships/hyperlink" Target="https://www.unocha.org/sites/dms/Documents/Coordination_Toolkit/cluster_coordination.pdf" TargetMode="External"/><Relationship Id="rId39" Type="http://schemas.openxmlformats.org/officeDocument/2006/relationships/hyperlink" Target="https://www.unocha.org/sites/dms/Documents/Coordination_Toolkit/cluster_coordination.pdf" TargetMode="External"/><Relationship Id="rId38" Type="http://schemas.openxmlformats.org/officeDocument/2006/relationships/hyperlink" Target="https://www.unocha.org/sites/dms/Documents/Coordination_Toolkit/cluster_coordination.pdf" TargetMode="External"/><Relationship Id="rId62" Type="http://schemas.openxmlformats.org/officeDocument/2006/relationships/hyperlink" Target="https://www.unocha.org/sites/dms/Documents/Coordination_Toolkit/cluster_coordination.pdf" TargetMode="External"/><Relationship Id="rId61" Type="http://schemas.openxmlformats.org/officeDocument/2006/relationships/hyperlink" Target="https://www.unocha.org/sites/dms/Documents/Coordination_Toolkit/cluster_coordination.pdf" TargetMode="External"/><Relationship Id="rId20" Type="http://schemas.openxmlformats.org/officeDocument/2006/relationships/hyperlink" Target="https://www.unocha.org/sites/dms/Documents/Coordination_Toolkit/cluster_coordination.pdf" TargetMode="External"/><Relationship Id="rId64" Type="http://schemas.openxmlformats.org/officeDocument/2006/relationships/hyperlink" Target="https://www.unocha.org/sites/dms/Documents/Coordination_Toolkit/cluster_coordination.pdf" TargetMode="External"/><Relationship Id="rId63" Type="http://schemas.openxmlformats.org/officeDocument/2006/relationships/hyperlink" Target="https://www.unocha.org/sites/dms/Documents/Coordination_Toolkit/cluster_coordination.pdf" TargetMode="External"/><Relationship Id="rId22" Type="http://schemas.openxmlformats.org/officeDocument/2006/relationships/hyperlink" Target="https://www.unocha.org/sites/dms/Documents/Coordination_Toolkit/cluster_coordination.pdf" TargetMode="External"/><Relationship Id="rId66" Type="http://schemas.openxmlformats.org/officeDocument/2006/relationships/hyperlink" Target="https://www.unocha.org/sites/dms/Documents/Coordination_Toolkit/cluster_coordination.pdf" TargetMode="External"/><Relationship Id="rId21" Type="http://schemas.openxmlformats.org/officeDocument/2006/relationships/hyperlink" Target="https://www.unocha.org/sites/dms/Documents/Coordination_Toolkit/cluster_coordination.pdf" TargetMode="External"/><Relationship Id="rId65" Type="http://schemas.openxmlformats.org/officeDocument/2006/relationships/hyperlink" Target="https://www.unocha.org/sites/dms/Documents/Coordination_Toolkit/cluster_coordination.pdf" TargetMode="External"/><Relationship Id="rId24" Type="http://schemas.openxmlformats.org/officeDocument/2006/relationships/hyperlink" Target="https://www.unocha.org/sites/dms/Documents/Coordination_Toolkit/cluster_coordination.pdf" TargetMode="External"/><Relationship Id="rId23" Type="http://schemas.openxmlformats.org/officeDocument/2006/relationships/hyperlink" Target="https://www.unocha.org/sites/dms/Documents/Coordination_Toolkit/cluster_coordination.pdf" TargetMode="External"/><Relationship Id="rId67" Type="http://schemas.openxmlformats.org/officeDocument/2006/relationships/hyperlink" Target="https://www.unocha.org/sites/dms/Documents/Coordination_Toolkit/cluster_coordination.pdf" TargetMode="External"/><Relationship Id="rId60" Type="http://schemas.openxmlformats.org/officeDocument/2006/relationships/hyperlink" Target="https://www.unocha.org/sites/dms/Documents/Coordination_Toolkit/cluster_coordination.pdf" TargetMode="External"/><Relationship Id="rId26" Type="http://schemas.openxmlformats.org/officeDocument/2006/relationships/hyperlink" Target="https://www.unocha.org/sites/dms/Documents/Coordination_Toolkit/cluster_coordination.pdf" TargetMode="External"/><Relationship Id="rId25" Type="http://schemas.openxmlformats.org/officeDocument/2006/relationships/hyperlink" Target="https://www.unocha.org/sites/dms/Documents/Coordination_Toolkit/cluster_coordination.pdf" TargetMode="External"/><Relationship Id="rId28" Type="http://schemas.openxmlformats.org/officeDocument/2006/relationships/hyperlink" Target="https://www.unocha.org/sites/dms/Documents/Coordination_Toolkit/cluster_coordination.pdf" TargetMode="External"/><Relationship Id="rId27" Type="http://schemas.openxmlformats.org/officeDocument/2006/relationships/hyperlink" Target="https://www.unocha.org/sites/dms/Documents/Coordination_Toolkit/cluster_coordination.pdf" TargetMode="External"/><Relationship Id="rId29" Type="http://schemas.openxmlformats.org/officeDocument/2006/relationships/hyperlink" Target="https://www.unocha.org/sites/dms/Documents/Coordination_Toolkit/cluster_coordination.pdf" TargetMode="External"/><Relationship Id="rId51" Type="http://schemas.openxmlformats.org/officeDocument/2006/relationships/hyperlink" Target="https://www.unocha.org/sites/dms/Documents/Coordination_Toolkit/cluster_coordination.pdf" TargetMode="External"/><Relationship Id="rId50" Type="http://schemas.openxmlformats.org/officeDocument/2006/relationships/hyperlink" Target="https://www.unocha.org/sites/dms/Documents/Coordination_Toolkit/cluster_coordination.pdf" TargetMode="External"/><Relationship Id="rId53" Type="http://schemas.openxmlformats.org/officeDocument/2006/relationships/hyperlink" Target="https://www.unocha.org/sites/dms/Documents/Coordination_Toolkit/cluster_coordination.pdf" TargetMode="External"/><Relationship Id="rId52" Type="http://schemas.openxmlformats.org/officeDocument/2006/relationships/hyperlink" Target="https://www.unocha.org/sites/dms/Documents/Coordination_Toolkit/cluster_coordination.pdf" TargetMode="External"/><Relationship Id="rId11" Type="http://schemas.openxmlformats.org/officeDocument/2006/relationships/hyperlink" Target="https://www.unocha.org/sites/dms/Documents/Coordination_Toolkit/cluster_coordination.pdf" TargetMode="External"/><Relationship Id="rId55" Type="http://schemas.openxmlformats.org/officeDocument/2006/relationships/hyperlink" Target="https://www.unocha.org/sites/dms/Documents/Coordination_Toolkit/cluster_coordination.pdf" TargetMode="External"/><Relationship Id="rId10" Type="http://schemas.openxmlformats.org/officeDocument/2006/relationships/hyperlink" Target="https://www.unocha.org/sites/dms/Documents/Coordination_Toolkit/cluster_coordination.pdf" TargetMode="External"/><Relationship Id="rId54" Type="http://schemas.openxmlformats.org/officeDocument/2006/relationships/hyperlink" Target="https://www.unocha.org/sites/dms/Documents/Coordination_Toolkit/cluster_coordination.pdf" TargetMode="External"/><Relationship Id="rId13" Type="http://schemas.openxmlformats.org/officeDocument/2006/relationships/hyperlink" Target="https://www.unocha.org/sites/dms/Documents/Coordination_Toolkit/cluster_coordination.pdf" TargetMode="External"/><Relationship Id="rId57" Type="http://schemas.openxmlformats.org/officeDocument/2006/relationships/hyperlink" Target="https://www.unocha.org/sites/dms/Documents/Coordination_Toolkit/cluster_coordination.pdf" TargetMode="External"/><Relationship Id="rId12" Type="http://schemas.openxmlformats.org/officeDocument/2006/relationships/hyperlink" Target="https://www.unocha.org/sites/dms/Documents/Coordination_Toolkit/cluster_coordination.pdf" TargetMode="External"/><Relationship Id="rId56" Type="http://schemas.openxmlformats.org/officeDocument/2006/relationships/hyperlink" Target="https://www.unocha.org/sites/dms/Documents/Coordination_Toolkit/cluster_coordination.pdf" TargetMode="External"/><Relationship Id="rId15" Type="http://schemas.openxmlformats.org/officeDocument/2006/relationships/hyperlink" Target="https://www.unocha.org/sites/dms/Documents/Coordination_Toolkit/cluster_coordination.pdf" TargetMode="External"/><Relationship Id="rId59" Type="http://schemas.openxmlformats.org/officeDocument/2006/relationships/hyperlink" Target="https://www.unocha.org/sites/dms/Documents/Coordination_Toolkit/cluster_coordination.pdf" TargetMode="External"/><Relationship Id="rId14" Type="http://schemas.openxmlformats.org/officeDocument/2006/relationships/hyperlink" Target="https://www.unocha.org/sites/dms/Documents/Coordination_Toolkit/cluster_coordination.pdf" TargetMode="External"/><Relationship Id="rId58" Type="http://schemas.openxmlformats.org/officeDocument/2006/relationships/hyperlink" Target="https://www.unocha.org/sites/dms/Documents/Coordination_Toolkit/cluster_coordination.pdf" TargetMode="External"/><Relationship Id="rId17" Type="http://schemas.openxmlformats.org/officeDocument/2006/relationships/hyperlink" Target="https://www.unocha.org/sites/dms/Documents/Coordination_Toolkit/cluster_coordination.pdf" TargetMode="External"/><Relationship Id="rId16" Type="http://schemas.openxmlformats.org/officeDocument/2006/relationships/hyperlink" Target="https://www.unocha.org/sites/dms/Documents/Coordination_Toolkit/cluster_coordination.pdf" TargetMode="External"/><Relationship Id="rId19" Type="http://schemas.openxmlformats.org/officeDocument/2006/relationships/hyperlink" Target="https://www.unocha.org/sites/dms/Documents/Coordination_Toolkit/cluster_coordination.pdf" TargetMode="External"/><Relationship Id="rId18" Type="http://schemas.openxmlformats.org/officeDocument/2006/relationships/hyperlink" Target="https://www.unocha.org/sites/dms/Documents/Coordination_Toolkit/cluster_coordinatio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