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u15t729wfge3" w:id="0"/>
      <w:bookmarkEnd w:id="0"/>
      <w:r w:rsidDel="00000000" w:rsidR="00000000" w:rsidRPr="00000000">
        <w:rPr>
          <w:rFonts w:ascii="Google Sans" w:cs="Google Sans" w:eastAsia="Google Sans" w:hAnsi="Google Sans"/>
          <w:b w:val="1"/>
          <w:color w:val="000000"/>
          <w:sz w:val="22"/>
          <w:szCs w:val="22"/>
          <w:rtl w:val="0"/>
        </w:rPr>
        <w:t xml:space="preserve">Purpose &amp; Goals</w:t>
      </w:r>
    </w:p>
    <w:p w:rsidR="00000000" w:rsidDel="00000000" w:rsidP="00000000" w:rsidRDefault="00000000" w:rsidRPr="00000000" w14:paraId="00000002">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Programmatic Data Ingestion:</w:t>
      </w:r>
      <w:r w:rsidDel="00000000" w:rsidR="00000000" w:rsidRPr="00000000">
        <w:rPr>
          <w:rFonts w:ascii="Google Sans" w:cs="Google Sans" w:eastAsia="Google Sans" w:hAnsi="Google Sans"/>
          <w:sz w:val="24"/>
          <w:szCs w:val="24"/>
          <w:rtl w:val="0"/>
        </w:rPr>
        <w:t xml:space="preserve"> The platform will utilize the APIs of platforms like X (formerly Twitter) and Meta to programmatically access and ingest public data, enabling real-time listening for distress signals and crisis-related events. (Source:</w:t>
      </w:r>
      <w:hyperlink r:id="rId6">
        <w:r w:rsidDel="00000000" w:rsidR="00000000" w:rsidRPr="00000000">
          <w:rPr>
            <w:rFonts w:ascii="Google Sans" w:cs="Google Sans" w:eastAsia="Google Sans" w:hAnsi="Google Sans"/>
            <w:sz w:val="24"/>
            <w:szCs w:val="24"/>
            <w:rtl w:val="0"/>
          </w:rPr>
          <w:t xml:space="preserve"> </w:t>
        </w:r>
      </w:hyperlink>
      <w:hyperlink r:id="rId7">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3">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Regulatory Compliance:</w:t>
      </w:r>
      <w:r w:rsidDel="00000000" w:rsidR="00000000" w:rsidRPr="00000000">
        <w:rPr>
          <w:rFonts w:ascii="Google Sans" w:cs="Google Sans" w:eastAsia="Google Sans" w:hAnsi="Google Sans"/>
          <w:sz w:val="24"/>
          <w:szCs w:val="24"/>
          <w:rtl w:val="0"/>
        </w:rPr>
        <w:t xml:space="preserve"> The platform's design and operation must adhere to the Indian IT Rules, 2021, establishing a framework of due diligence and accountability for how it handles social media data and responds to lawful orders. (Source:</w:t>
      </w:r>
      <w:hyperlink r:id="rId8">
        <w:r w:rsidDel="00000000" w:rsidR="00000000" w:rsidRPr="00000000">
          <w:rPr>
            <w:rFonts w:ascii="Google Sans" w:cs="Google Sans" w:eastAsia="Google Sans" w:hAnsi="Google Sans"/>
            <w:sz w:val="24"/>
            <w:szCs w:val="24"/>
            <w:rtl w:val="0"/>
          </w:rPr>
          <w:t xml:space="preserve"> </w:t>
        </w:r>
      </w:hyperlink>
      <w:hyperlink r:id="rId9">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4">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Crowdsourced Situational Awareness:</w:t>
      </w:r>
      <w:r w:rsidDel="00000000" w:rsidR="00000000" w:rsidRPr="00000000">
        <w:rPr>
          <w:rFonts w:ascii="Google Sans" w:cs="Google Sans" w:eastAsia="Google Sans" w:hAnsi="Google Sans"/>
          <w:sz w:val="24"/>
          <w:szCs w:val="24"/>
          <w:rtl w:val="0"/>
        </w:rPr>
        <w:t xml:space="preserve"> The platform's primary goal for using social media is to leverage crowdsourcing to gather diverse, on-the-ground data quickly, providing a richer and more immediate source of information than traditional reporting channels. (Source:</w:t>
      </w:r>
      <w:hyperlink r:id="rId10">
        <w:r w:rsidDel="00000000" w:rsidR="00000000" w:rsidRPr="00000000">
          <w:rPr>
            <w:rFonts w:ascii="Google Sans" w:cs="Google Sans" w:eastAsia="Google Sans" w:hAnsi="Google Sans"/>
            <w:sz w:val="24"/>
            <w:szCs w:val="24"/>
            <w:rtl w:val="0"/>
          </w:rPr>
          <w:t xml:space="preserve"> </w:t>
        </w:r>
      </w:hyperlink>
      <w:hyperlink r:id="rId11">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5">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Communication:</w:t>
      </w:r>
      <w:r w:rsidDel="00000000" w:rsidR="00000000" w:rsidRPr="00000000">
        <w:rPr>
          <w:rFonts w:ascii="Google Sans" w:cs="Google Sans" w:eastAsia="Google Sans" w:hAnsi="Google Sans"/>
          <w:sz w:val="24"/>
          <w:szCs w:val="24"/>
          <w:rtl w:val="0"/>
        </w:rPr>
        <w:t xml:space="preserve"> The platform will use business APIs (e.g., WhatsApp Business Platform) to send targeted notifications and alerts to first responders and registered volunteers. (Source:</w:t>
      </w:r>
      <w:hyperlink r:id="rId12">
        <w:r w:rsidDel="00000000" w:rsidR="00000000" w:rsidRPr="00000000">
          <w:rPr>
            <w:rFonts w:ascii="Google Sans" w:cs="Google Sans" w:eastAsia="Google Sans" w:hAnsi="Google Sans"/>
            <w:sz w:val="24"/>
            <w:szCs w:val="24"/>
            <w:rtl w:val="0"/>
          </w:rPr>
          <w:t xml:space="preserve"> </w:t>
        </w:r>
      </w:hyperlink>
      <w:hyperlink r:id="rId13">
        <w:r w:rsidDel="00000000" w:rsidR="00000000" w:rsidRPr="00000000">
          <w:rPr>
            <w:rFonts w:ascii="Google Sans" w:cs="Google Sans" w:eastAsia="Google Sans" w:hAnsi="Google Sans"/>
            <w:color w:val="1155cc"/>
            <w:sz w:val="24"/>
            <w:szCs w:val="24"/>
            <w:u w:val="single"/>
            <w:rtl w:val="0"/>
          </w:rPr>
          <w:t xml:space="preserve">https://developers.facebook.com/docs/whatsapp/cloud-api/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6">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f04fzcr523by" w:id="1"/>
      <w:bookmarkEnd w:id="1"/>
      <w:r w:rsidDel="00000000" w:rsidR="00000000" w:rsidRPr="00000000">
        <w:rPr>
          <w:rFonts w:ascii="Google Sans" w:cs="Google Sans" w:eastAsia="Google Sans" w:hAnsi="Google Sans"/>
          <w:b w:val="1"/>
          <w:color w:val="000000"/>
          <w:sz w:val="22"/>
          <w:szCs w:val="22"/>
          <w:rtl w:val="0"/>
        </w:rPr>
        <w:t xml:space="preserve">Stakeholders &amp; Roles</w:t>
      </w:r>
    </w:p>
    <w:p w:rsidR="00000000" w:rsidDel="00000000" w:rsidP="00000000" w:rsidRDefault="00000000" w:rsidRPr="00000000" w14:paraId="00000007">
      <w:pPr>
        <w:widowControl w:val="0"/>
        <w:numPr>
          <w:ilvl w:val="0"/>
          <w:numId w:val="7"/>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Platform as a Developer:</w:t>
      </w:r>
      <w:r w:rsidDel="00000000" w:rsidR="00000000" w:rsidRPr="00000000">
        <w:rPr>
          <w:rFonts w:ascii="Google Sans" w:cs="Google Sans" w:eastAsia="Google Sans" w:hAnsi="Google Sans"/>
          <w:sz w:val="24"/>
          <w:szCs w:val="24"/>
          <w:rtl w:val="0"/>
        </w:rPr>
        <w:t xml:space="preserve"> In its interaction with social media APIs, the platform acts as a developer and is responsible for adhering to all terms of service, rate limits, and data privacy policies set by the social media companies. (Source:</w:t>
      </w:r>
      <w:hyperlink r:id="rId14">
        <w:r w:rsidDel="00000000" w:rsidR="00000000" w:rsidRPr="00000000">
          <w:rPr>
            <w:rFonts w:ascii="Google Sans" w:cs="Google Sans" w:eastAsia="Google Sans" w:hAnsi="Google Sans"/>
            <w:sz w:val="24"/>
            <w:szCs w:val="24"/>
            <w:rtl w:val="0"/>
          </w:rPr>
          <w:t xml:space="preserve"> </w:t>
        </w:r>
      </w:hyperlink>
      <w:hyperlink r:id="rId15">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8">
      <w:pPr>
        <w:widowControl w:val="0"/>
        <w:numPr>
          <w:ilvl w:val="0"/>
          <w:numId w:val="7"/>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Chief Compliance Officer:</w:t>
      </w:r>
      <w:r w:rsidDel="00000000" w:rsidR="00000000" w:rsidRPr="00000000">
        <w:rPr>
          <w:rFonts w:ascii="Google Sans" w:cs="Google Sans" w:eastAsia="Google Sans" w:hAnsi="Google Sans"/>
          <w:sz w:val="24"/>
          <w:szCs w:val="24"/>
          <w:rtl w:val="0"/>
        </w:rPr>
        <w:t xml:space="preserve"> The organization operating the platform must appoint a Chief Compliance Officer responsible for ensuring the platform's adherence to the IT Act and its rules, particularly regarding data handling and lawful requests. (Source:</w:t>
      </w:r>
      <w:hyperlink r:id="rId16">
        <w:r w:rsidDel="00000000" w:rsidR="00000000" w:rsidRPr="00000000">
          <w:rPr>
            <w:rFonts w:ascii="Google Sans" w:cs="Google Sans" w:eastAsia="Google Sans" w:hAnsi="Google Sans"/>
            <w:sz w:val="24"/>
            <w:szCs w:val="24"/>
            <w:rtl w:val="0"/>
          </w:rPr>
          <w:t xml:space="preserve"> </w:t>
        </w:r>
      </w:hyperlink>
      <w:hyperlink r:id="rId17">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9">
      <w:pPr>
        <w:widowControl w:val="0"/>
        <w:numPr>
          <w:ilvl w:val="0"/>
          <w:numId w:val="7"/>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Government of India (MeitY):</w:t>
      </w:r>
      <w:r w:rsidDel="00000000" w:rsidR="00000000" w:rsidRPr="00000000">
        <w:rPr>
          <w:rFonts w:ascii="Google Sans" w:cs="Google Sans" w:eastAsia="Google Sans" w:hAnsi="Google Sans"/>
          <w:sz w:val="24"/>
          <w:szCs w:val="24"/>
          <w:rtl w:val="0"/>
        </w:rPr>
        <w:t xml:space="preserve"> The platform must have a defined process to respond to legally binding takedown orders from authorized government agencies for any unlawful content that may have been ingested and stored in its systems. (Source:</w:t>
      </w:r>
      <w:hyperlink r:id="rId18">
        <w:r w:rsidDel="00000000" w:rsidR="00000000" w:rsidRPr="00000000">
          <w:rPr>
            <w:rFonts w:ascii="Google Sans" w:cs="Google Sans" w:eastAsia="Google Sans" w:hAnsi="Google Sans"/>
            <w:sz w:val="24"/>
            <w:szCs w:val="24"/>
            <w:rtl w:val="0"/>
          </w:rPr>
          <w:t xml:space="preserve"> </w:t>
        </w:r>
      </w:hyperlink>
      <w:hyperlink r:id="rId19">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A">
      <w:pPr>
        <w:widowControl w:val="0"/>
        <w:numPr>
          <w:ilvl w:val="0"/>
          <w:numId w:val="7"/>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End-Users (Citizens):</w:t>
      </w:r>
      <w:r w:rsidDel="00000000" w:rsidR="00000000" w:rsidRPr="00000000">
        <w:rPr>
          <w:rFonts w:ascii="Google Sans" w:cs="Google Sans" w:eastAsia="Google Sans" w:hAnsi="Google Sans"/>
          <w:sz w:val="24"/>
          <w:szCs w:val="24"/>
          <w:rtl w:val="0"/>
        </w:rPr>
        <w:t xml:space="preserve"> The platform will process public data created by end-users. Its design must prioritize the ethical use of this data, focusing solely on disaster response and avoiding surveillance or other prohibited use cases. (Source:</w:t>
      </w:r>
      <w:hyperlink r:id="rId20">
        <w:r w:rsidDel="00000000" w:rsidR="00000000" w:rsidRPr="00000000">
          <w:rPr>
            <w:rFonts w:ascii="Google Sans" w:cs="Google Sans" w:eastAsia="Google Sans" w:hAnsi="Google Sans"/>
            <w:sz w:val="24"/>
            <w:szCs w:val="24"/>
            <w:rtl w:val="0"/>
          </w:rPr>
          <w:t xml:space="preserve"> </w:t>
        </w:r>
      </w:hyperlink>
      <w:hyperlink r:id="rId21">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B">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ttjjnh3ikdw" w:id="2"/>
      <w:bookmarkEnd w:id="2"/>
      <w:r w:rsidDel="00000000" w:rsidR="00000000" w:rsidRPr="00000000">
        <w:rPr>
          <w:rFonts w:ascii="Google Sans" w:cs="Google Sans" w:eastAsia="Google Sans" w:hAnsi="Google Sans"/>
          <w:b w:val="1"/>
          <w:color w:val="000000"/>
          <w:sz w:val="22"/>
          <w:szCs w:val="22"/>
          <w:rtl w:val="0"/>
        </w:rPr>
        <w:t xml:space="preserve">Processes &amp; Workflows</w:t>
      </w:r>
    </w:p>
    <w:p w:rsidR="00000000" w:rsidDel="00000000" w:rsidP="00000000" w:rsidRDefault="00000000" w:rsidRPr="00000000" w14:paraId="0000000C">
      <w:pPr>
        <w:widowControl w:val="0"/>
        <w:numPr>
          <w:ilvl w:val="0"/>
          <w:numId w:val="8"/>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API Authentication &amp; Request:</w:t>
      </w:r>
      <w:r w:rsidDel="00000000" w:rsidR="00000000" w:rsidRPr="00000000">
        <w:rPr>
          <w:rFonts w:ascii="Google Sans" w:cs="Google Sans" w:eastAsia="Google Sans" w:hAnsi="Google Sans"/>
          <w:sz w:val="24"/>
          <w:szCs w:val="24"/>
          <w:rtl w:val="0"/>
        </w:rPr>
        <w:t xml:space="preserve"> The platform's social media ingestion module will use secure API keys and OAuth 2.0 credentials to authenticate requests. It will make HTTP requests to specific API endpoints to search for relevant keywords and hashtags, parsing the returned JSON data. (Source:</w:t>
      </w:r>
      <w:hyperlink r:id="rId22">
        <w:r w:rsidDel="00000000" w:rsidR="00000000" w:rsidRPr="00000000">
          <w:rPr>
            <w:rFonts w:ascii="Google Sans" w:cs="Google Sans" w:eastAsia="Google Sans" w:hAnsi="Google Sans"/>
            <w:sz w:val="24"/>
            <w:szCs w:val="24"/>
            <w:rtl w:val="0"/>
          </w:rPr>
          <w:t xml:space="preserve"> </w:t>
        </w:r>
      </w:hyperlink>
      <w:hyperlink r:id="rId23">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D">
      <w:pPr>
        <w:widowControl w:val="0"/>
        <w:numPr>
          <w:ilvl w:val="0"/>
          <w:numId w:val="8"/>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Webhook Integration for Real-Time Data:</w:t>
      </w:r>
      <w:r w:rsidDel="00000000" w:rsidR="00000000" w:rsidRPr="00000000">
        <w:rPr>
          <w:rFonts w:ascii="Google Sans" w:cs="Google Sans" w:eastAsia="Google Sans" w:hAnsi="Google Sans"/>
          <w:sz w:val="24"/>
          <w:szCs w:val="24"/>
          <w:rtl w:val="0"/>
        </w:rPr>
        <w:t xml:space="preserve"> For immediate alerts, the platform will use webhooks. Social media platforms will push real-time data (e.g., new posts matching a keyword) to a platform-specified URL, enabling instant ingestion and analysis. (Source:</w:t>
      </w:r>
      <w:hyperlink r:id="rId24">
        <w:r w:rsidDel="00000000" w:rsidR="00000000" w:rsidRPr="00000000">
          <w:rPr>
            <w:rFonts w:ascii="Google Sans" w:cs="Google Sans" w:eastAsia="Google Sans" w:hAnsi="Google Sans"/>
            <w:sz w:val="24"/>
            <w:szCs w:val="24"/>
            <w:rtl w:val="0"/>
          </w:rPr>
          <w:t xml:space="preserve"> </w:t>
        </w:r>
      </w:hyperlink>
      <w:hyperlink r:id="rId25">
        <w:r w:rsidDel="00000000" w:rsidR="00000000" w:rsidRPr="00000000">
          <w:rPr>
            <w:rFonts w:ascii="Google Sans" w:cs="Google Sans" w:eastAsia="Google Sans" w:hAnsi="Google Sans"/>
            <w:color w:val="1155cc"/>
            <w:sz w:val="24"/>
            <w:szCs w:val="24"/>
            <w:u w:val="single"/>
            <w:rtl w:val="0"/>
          </w:rPr>
          <w:t xml:space="preserve">https://developers.facebook.com/docs/graph-api/webhooks/</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E">
      <w:pPr>
        <w:widowControl w:val="0"/>
        <w:numPr>
          <w:ilvl w:val="0"/>
          <w:numId w:val="8"/>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Content Takedown Workflow:</w:t>
      </w:r>
      <w:r w:rsidDel="00000000" w:rsidR="00000000" w:rsidRPr="00000000">
        <w:rPr>
          <w:rFonts w:ascii="Google Sans" w:cs="Google Sans" w:eastAsia="Google Sans" w:hAnsi="Google Sans"/>
          <w:sz w:val="24"/>
          <w:szCs w:val="24"/>
          <w:rtl w:val="0"/>
        </w:rPr>
        <w:t xml:space="preserve"> Upon receiving a valid legal order, the platform's administrator must have a workflow to locate the specified content within the platform's database and either delete it or disable access to it within the 36-hour timeframe mandated by the IT Rules. (Source:</w:t>
      </w:r>
      <w:hyperlink r:id="rId26">
        <w:r w:rsidDel="00000000" w:rsidR="00000000" w:rsidRPr="00000000">
          <w:rPr>
            <w:rFonts w:ascii="Google Sans" w:cs="Google Sans" w:eastAsia="Google Sans" w:hAnsi="Google Sans"/>
            <w:sz w:val="24"/>
            <w:szCs w:val="24"/>
            <w:rtl w:val="0"/>
          </w:rPr>
          <w:t xml:space="preserve"> </w:t>
        </w:r>
      </w:hyperlink>
      <w:hyperlink r:id="rId27">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F">
      <w:pPr>
        <w:widowControl w:val="0"/>
        <w:numPr>
          <w:ilvl w:val="0"/>
          <w:numId w:val="8"/>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GenAI Content Moderation:</w:t>
      </w:r>
      <w:r w:rsidDel="00000000" w:rsidR="00000000" w:rsidRPr="00000000">
        <w:rPr>
          <w:rFonts w:ascii="Google Sans" w:cs="Google Sans" w:eastAsia="Google Sans" w:hAnsi="Google Sans"/>
          <w:sz w:val="24"/>
          <w:szCs w:val="24"/>
          <w:rtl w:val="0"/>
        </w:rPr>
        <w:t xml:space="preserve"> The platform's GenAI will be trained to proactively identify and flag harmful or irrelevant content (e.g., misinformation, spam) from the ingested social media feeds, cleaning the data before it is presented to human operators. (Source:</w:t>
      </w:r>
      <w:hyperlink r:id="rId28">
        <w:r w:rsidDel="00000000" w:rsidR="00000000" w:rsidRPr="00000000">
          <w:rPr>
            <w:rFonts w:ascii="Google Sans" w:cs="Google Sans" w:eastAsia="Google Sans" w:hAnsi="Google Sans"/>
            <w:sz w:val="24"/>
            <w:szCs w:val="24"/>
            <w:rtl w:val="0"/>
          </w:rPr>
          <w:t xml:space="preserve"> </w:t>
        </w:r>
      </w:hyperlink>
      <w:hyperlink r:id="rId29">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0">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avy8gwwjkv9d" w:id="3"/>
      <w:bookmarkEnd w:id="3"/>
      <w:r w:rsidDel="00000000" w:rsidR="00000000" w:rsidRPr="00000000">
        <w:rPr>
          <w:rFonts w:ascii="Google Sans" w:cs="Google Sans" w:eastAsia="Google Sans" w:hAnsi="Google Sans"/>
          <w:b w:val="1"/>
          <w:color w:val="000000"/>
          <w:sz w:val="22"/>
          <w:szCs w:val="22"/>
          <w:rtl w:val="0"/>
        </w:rPr>
        <w:t xml:space="preserve">Data Requirements</w:t>
      </w:r>
    </w:p>
    <w:p w:rsidR="00000000" w:rsidDel="00000000" w:rsidP="00000000" w:rsidRDefault="00000000" w:rsidRPr="00000000" w14:paraId="00000011">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JSON Data Format:</w:t>
      </w:r>
      <w:r w:rsidDel="00000000" w:rsidR="00000000" w:rsidRPr="00000000">
        <w:rPr>
          <w:rFonts w:ascii="Google Sans" w:cs="Google Sans" w:eastAsia="Google Sans" w:hAnsi="Google Sans"/>
          <w:sz w:val="24"/>
          <w:szCs w:val="24"/>
          <w:rtl w:val="0"/>
        </w:rPr>
        <w:t xml:space="preserve"> The platform's ingestion pipeline must be built to parse JSON, the standard data format for social media API responses. (Source:</w:t>
      </w:r>
      <w:hyperlink r:id="rId30">
        <w:r w:rsidDel="00000000" w:rsidR="00000000" w:rsidRPr="00000000">
          <w:rPr>
            <w:rFonts w:ascii="Google Sans" w:cs="Google Sans" w:eastAsia="Google Sans" w:hAnsi="Google Sans"/>
            <w:sz w:val="24"/>
            <w:szCs w:val="24"/>
            <w:rtl w:val="0"/>
          </w:rPr>
          <w:t xml:space="preserve"> </w:t>
        </w:r>
      </w:hyperlink>
      <w:hyperlink r:id="rId31">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2">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Geo-tagged Data Extraction:</w:t>
      </w:r>
      <w:r w:rsidDel="00000000" w:rsidR="00000000" w:rsidRPr="00000000">
        <w:rPr>
          <w:rFonts w:ascii="Google Sans" w:cs="Google Sans" w:eastAsia="Google Sans" w:hAnsi="Google Sans"/>
          <w:sz w:val="24"/>
          <w:szCs w:val="24"/>
          <w:rtl w:val="0"/>
        </w:rPr>
        <w:t xml:space="preserve"> A key data requirement is the ability to extract and prioritize posts that contain geo-tagged location data, as this is critical for accurately plotting incidents on the shared map. (Source:</w:t>
      </w:r>
      <w:hyperlink r:id="rId32">
        <w:r w:rsidDel="00000000" w:rsidR="00000000" w:rsidRPr="00000000">
          <w:rPr>
            <w:rFonts w:ascii="Google Sans" w:cs="Google Sans" w:eastAsia="Google Sans" w:hAnsi="Google Sans"/>
            <w:sz w:val="24"/>
            <w:szCs w:val="24"/>
            <w:rtl w:val="0"/>
          </w:rPr>
          <w:t xml:space="preserve"> </w:t>
        </w:r>
      </w:hyperlink>
      <w:hyperlink r:id="rId33">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3">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Traceability Compliance:</w:t>
      </w:r>
      <w:r w:rsidDel="00000000" w:rsidR="00000000" w:rsidRPr="00000000">
        <w:rPr>
          <w:rFonts w:ascii="Google Sans" w:cs="Google Sans" w:eastAsia="Google Sans" w:hAnsi="Google Sans"/>
          <w:sz w:val="24"/>
          <w:szCs w:val="24"/>
          <w:rtl w:val="0"/>
        </w:rPr>
        <w:t xml:space="preserve"> The platform must log the original source (e.g., post URL, author ID) of all ingested information to assist with traceability requirements under the IT Rules if lawfully required for serious offenses. (Source:</w:t>
      </w:r>
      <w:hyperlink r:id="rId34">
        <w:r w:rsidDel="00000000" w:rsidR="00000000" w:rsidRPr="00000000">
          <w:rPr>
            <w:rFonts w:ascii="Google Sans" w:cs="Google Sans" w:eastAsia="Google Sans" w:hAnsi="Google Sans"/>
            <w:sz w:val="24"/>
            <w:szCs w:val="24"/>
            <w:rtl w:val="0"/>
          </w:rPr>
          <w:t xml:space="preserve"> </w:t>
        </w:r>
      </w:hyperlink>
      <w:hyperlink r:id="rId35">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4">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Media Data Handling:</w:t>
      </w:r>
      <w:r w:rsidDel="00000000" w:rsidR="00000000" w:rsidRPr="00000000">
        <w:rPr>
          <w:rFonts w:ascii="Google Sans" w:cs="Google Sans" w:eastAsia="Google Sans" w:hAnsi="Google Sans"/>
          <w:sz w:val="24"/>
          <w:szCs w:val="24"/>
          <w:rtl w:val="0"/>
        </w:rPr>
        <w:t xml:space="preserve"> The platform must be able to process URLs for media (images, videos) attached to social media posts, allowing the GenAI to perform image analysis and providing visual context to human operators. (Source:</w:t>
      </w:r>
      <w:hyperlink r:id="rId36">
        <w:r w:rsidDel="00000000" w:rsidR="00000000" w:rsidRPr="00000000">
          <w:rPr>
            <w:rFonts w:ascii="Google Sans" w:cs="Google Sans" w:eastAsia="Google Sans" w:hAnsi="Google Sans"/>
            <w:sz w:val="24"/>
            <w:szCs w:val="24"/>
            <w:rtl w:val="0"/>
          </w:rPr>
          <w:t xml:space="preserve"> </w:t>
        </w:r>
      </w:hyperlink>
      <w:hyperlink r:id="rId37">
        <w:r w:rsidDel="00000000" w:rsidR="00000000" w:rsidRPr="00000000">
          <w:rPr>
            <w:rFonts w:ascii="Google Sans" w:cs="Google Sans" w:eastAsia="Google Sans" w:hAnsi="Google Sans"/>
            <w:color w:val="1155cc"/>
            <w:sz w:val="24"/>
            <w:szCs w:val="24"/>
            <w:u w:val="single"/>
            <w:rtl w:val="0"/>
          </w:rPr>
          <w:t xml:space="preserve">https://developers.facebook.com/docs/graph-api/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5">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ppinv1psv5gh" w:id="4"/>
      <w:bookmarkEnd w:id="4"/>
      <w:r w:rsidDel="00000000" w:rsidR="00000000" w:rsidRPr="00000000">
        <w:rPr>
          <w:rFonts w:ascii="Google Sans" w:cs="Google Sans" w:eastAsia="Google Sans" w:hAnsi="Google Sans"/>
          <w:b w:val="1"/>
          <w:color w:val="000000"/>
          <w:sz w:val="22"/>
          <w:szCs w:val="22"/>
          <w:rtl w:val="0"/>
        </w:rPr>
        <w:t xml:space="preserve">Constraints &amp; Rules</w:t>
      </w:r>
    </w:p>
    <w:p w:rsidR="00000000" w:rsidDel="00000000" w:rsidP="00000000" w:rsidRDefault="00000000" w:rsidRPr="00000000" w14:paraId="00000016">
      <w:pPr>
        <w:widowControl w:val="0"/>
        <w:numPr>
          <w:ilvl w:val="0"/>
          <w:numId w:val="6"/>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API Rate Limits &amp; Cost:</w:t>
      </w:r>
      <w:r w:rsidDel="00000000" w:rsidR="00000000" w:rsidRPr="00000000">
        <w:rPr>
          <w:rFonts w:ascii="Google Sans" w:cs="Google Sans" w:eastAsia="Google Sans" w:hAnsi="Google Sans"/>
          <w:sz w:val="24"/>
          <w:szCs w:val="24"/>
          <w:rtl w:val="0"/>
        </w:rPr>
        <w:t xml:space="preserve"> The platform's architecture must be designed to operate efficiently within the rate limits and cost structures of social media APIs (e.g., the X API's tiered model), using intelligent queuing and request batching. (Source:</w:t>
      </w:r>
      <w:hyperlink r:id="rId38">
        <w:r w:rsidDel="00000000" w:rsidR="00000000" w:rsidRPr="00000000">
          <w:rPr>
            <w:rFonts w:ascii="Google Sans" w:cs="Google Sans" w:eastAsia="Google Sans" w:hAnsi="Google Sans"/>
            <w:sz w:val="24"/>
            <w:szCs w:val="24"/>
            <w:rtl w:val="0"/>
          </w:rPr>
          <w:t xml:space="preserve"> </w:t>
        </w:r>
      </w:hyperlink>
      <w:hyperlink r:id="rId39">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7">
      <w:pPr>
        <w:widowControl w:val="0"/>
        <w:numPr>
          <w:ilvl w:val="0"/>
          <w:numId w:val="6"/>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Data Usage Policies:</w:t>
      </w:r>
      <w:r w:rsidDel="00000000" w:rsidR="00000000" w:rsidRPr="00000000">
        <w:rPr>
          <w:rFonts w:ascii="Google Sans" w:cs="Google Sans" w:eastAsia="Google Sans" w:hAnsi="Google Sans"/>
          <w:sz w:val="24"/>
          <w:szCs w:val="24"/>
          <w:rtl w:val="0"/>
        </w:rPr>
        <w:t xml:space="preserve"> The platform must strictly adhere to platform policies that prohibit the use of API data for surveillance. All data must be used solely for disaster response. (Source:</w:t>
      </w:r>
      <w:hyperlink r:id="rId40">
        <w:r w:rsidDel="00000000" w:rsidR="00000000" w:rsidRPr="00000000">
          <w:rPr>
            <w:rFonts w:ascii="Google Sans" w:cs="Google Sans" w:eastAsia="Google Sans" w:hAnsi="Google Sans"/>
            <w:sz w:val="24"/>
            <w:szCs w:val="24"/>
            <w:rtl w:val="0"/>
          </w:rPr>
          <w:t xml:space="preserve"> </w:t>
        </w:r>
      </w:hyperlink>
      <w:hyperlink r:id="rId41">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8">
      <w:pPr>
        <w:widowControl w:val="0"/>
        <w:numPr>
          <w:ilvl w:val="0"/>
          <w:numId w:val="6"/>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Content Removal Timelines:</w:t>
      </w:r>
      <w:r w:rsidDel="00000000" w:rsidR="00000000" w:rsidRPr="00000000">
        <w:rPr>
          <w:rFonts w:ascii="Google Sans" w:cs="Google Sans" w:eastAsia="Google Sans" w:hAnsi="Google Sans"/>
          <w:sz w:val="24"/>
          <w:szCs w:val="24"/>
          <w:rtl w:val="0"/>
        </w:rPr>
        <w:t xml:space="preserve"> The platform must have the technical capability and operational procedures in place to ensure compliance with the 36-hour timeline for removing content upon receipt of a valid legal order. (Source:</w:t>
      </w:r>
      <w:hyperlink r:id="rId42">
        <w:r w:rsidDel="00000000" w:rsidR="00000000" w:rsidRPr="00000000">
          <w:rPr>
            <w:rFonts w:ascii="Google Sans" w:cs="Google Sans" w:eastAsia="Google Sans" w:hAnsi="Google Sans"/>
            <w:sz w:val="24"/>
            <w:szCs w:val="24"/>
            <w:rtl w:val="0"/>
          </w:rPr>
          <w:t xml:space="preserve"> </w:t>
        </w:r>
      </w:hyperlink>
      <w:hyperlink r:id="rId43">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9">
      <w:pPr>
        <w:widowControl w:val="0"/>
        <w:numPr>
          <w:ilvl w:val="0"/>
          <w:numId w:val="6"/>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Privacy vs. Traceability:</w:t>
      </w:r>
      <w:r w:rsidDel="00000000" w:rsidR="00000000" w:rsidRPr="00000000">
        <w:rPr>
          <w:rFonts w:ascii="Google Sans" w:cs="Google Sans" w:eastAsia="Google Sans" w:hAnsi="Google Sans"/>
          <w:sz w:val="24"/>
          <w:szCs w:val="24"/>
          <w:rtl w:val="0"/>
        </w:rPr>
        <w:t xml:space="preserve"> The platform must navigate the conflict between user privacy and the IT Rules' traceability requirement by storing only the necessary metadata to identify the "first originator" of an ingested post, without storing the content of private messages. (Source:</w:t>
      </w:r>
      <w:hyperlink r:id="rId44">
        <w:r w:rsidDel="00000000" w:rsidR="00000000" w:rsidRPr="00000000">
          <w:rPr>
            <w:rFonts w:ascii="Google Sans" w:cs="Google Sans" w:eastAsia="Google Sans" w:hAnsi="Google Sans"/>
            <w:sz w:val="24"/>
            <w:szCs w:val="24"/>
            <w:rtl w:val="0"/>
          </w:rPr>
          <w:t xml:space="preserve"> </w:t>
        </w:r>
      </w:hyperlink>
      <w:hyperlink r:id="rId45">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A">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sbvcy83rclzj" w:id="5"/>
      <w:bookmarkEnd w:id="5"/>
      <w:r w:rsidDel="00000000" w:rsidR="00000000" w:rsidRPr="00000000">
        <w:rPr>
          <w:rFonts w:ascii="Google Sans" w:cs="Google Sans" w:eastAsia="Google Sans" w:hAnsi="Google Sans"/>
          <w:b w:val="1"/>
          <w:color w:val="000000"/>
          <w:sz w:val="22"/>
          <w:szCs w:val="22"/>
          <w:rtl w:val="0"/>
        </w:rPr>
        <w:t xml:space="preserve">Non-Functional Needs</w:t>
      </w:r>
    </w:p>
    <w:p w:rsidR="00000000" w:rsidDel="00000000" w:rsidP="00000000" w:rsidRDefault="00000000" w:rsidRPr="00000000" w14:paraId="0000001B">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Scalability:</w:t>
      </w:r>
      <w:r w:rsidDel="00000000" w:rsidR="00000000" w:rsidRPr="00000000">
        <w:rPr>
          <w:rFonts w:ascii="Google Sans" w:cs="Google Sans" w:eastAsia="Google Sans" w:hAnsi="Google Sans"/>
          <w:sz w:val="24"/>
          <w:szCs w:val="24"/>
          <w:rtl w:val="0"/>
        </w:rPr>
        <w:t xml:space="preserve"> The social media ingestion module must be able to scale to handle millions of posts during a major crisis, in line with the massive scale of platforms like Meta and X. (Source:</w:t>
      </w:r>
      <w:hyperlink r:id="rId46">
        <w:r w:rsidDel="00000000" w:rsidR="00000000" w:rsidRPr="00000000">
          <w:rPr>
            <w:rFonts w:ascii="Google Sans" w:cs="Google Sans" w:eastAsia="Google Sans" w:hAnsi="Google Sans"/>
            <w:sz w:val="24"/>
            <w:szCs w:val="24"/>
            <w:rtl w:val="0"/>
          </w:rPr>
          <w:t xml:space="preserve"> </w:t>
        </w:r>
      </w:hyperlink>
      <w:hyperlink r:id="rId47">
        <w:r w:rsidDel="00000000" w:rsidR="00000000" w:rsidRPr="00000000">
          <w:rPr>
            <w:rFonts w:ascii="Google Sans" w:cs="Google Sans" w:eastAsia="Google Sans" w:hAnsi="Google Sans"/>
            <w:color w:val="1155cc"/>
            <w:sz w:val="24"/>
            <w:szCs w:val="24"/>
            <w:u w:val="single"/>
            <w:rtl w:val="0"/>
          </w:rPr>
          <w:t xml:space="preserve">https://developers.facebook.com/docs/graph-api/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C">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 Latency:</w:t>
      </w:r>
      <w:r w:rsidDel="00000000" w:rsidR="00000000" w:rsidRPr="00000000">
        <w:rPr>
          <w:rFonts w:ascii="Google Sans" w:cs="Google Sans" w:eastAsia="Google Sans" w:hAnsi="Google Sans"/>
          <w:sz w:val="24"/>
          <w:szCs w:val="24"/>
          <w:rtl w:val="0"/>
        </w:rPr>
        <w:t xml:space="preserve"> The platform must ingest and process social media posts with very low latency to ensure that real-time events are captured and displayed on the map as they happen. (Source:</w:t>
      </w:r>
      <w:hyperlink r:id="rId48">
        <w:r w:rsidDel="00000000" w:rsidR="00000000" w:rsidRPr="00000000">
          <w:rPr>
            <w:rFonts w:ascii="Google Sans" w:cs="Google Sans" w:eastAsia="Google Sans" w:hAnsi="Google Sans"/>
            <w:sz w:val="24"/>
            <w:szCs w:val="24"/>
            <w:rtl w:val="0"/>
          </w:rPr>
          <w:t xml:space="preserve"> </w:t>
        </w:r>
      </w:hyperlink>
      <w:hyperlink r:id="rId49">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D">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Reliability &amp; Availability:</w:t>
      </w:r>
      <w:r w:rsidDel="00000000" w:rsidR="00000000" w:rsidRPr="00000000">
        <w:rPr>
          <w:rFonts w:ascii="Google Sans" w:cs="Google Sans" w:eastAsia="Google Sans" w:hAnsi="Google Sans"/>
          <w:sz w:val="24"/>
          <w:szCs w:val="24"/>
          <w:rtl w:val="0"/>
        </w:rPr>
        <w:t xml:space="preserve"> The API integration must be reliable, with robust error handling and failover mechanisms to ensure a consistent stream of data, as API availability from social media platforms can fluctuate. (Source:</w:t>
      </w:r>
      <w:hyperlink r:id="rId50">
        <w:r w:rsidDel="00000000" w:rsidR="00000000" w:rsidRPr="00000000">
          <w:rPr>
            <w:rFonts w:ascii="Google Sans" w:cs="Google Sans" w:eastAsia="Google Sans" w:hAnsi="Google Sans"/>
            <w:sz w:val="24"/>
            <w:szCs w:val="24"/>
            <w:rtl w:val="0"/>
          </w:rPr>
          <w:t xml:space="preserve"> </w:t>
        </w:r>
      </w:hyperlink>
      <w:hyperlink r:id="rId51">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E">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n3546nda5j6m" w:id="6"/>
      <w:bookmarkEnd w:id="6"/>
      <w:r w:rsidDel="00000000" w:rsidR="00000000" w:rsidRPr="00000000">
        <w:rPr>
          <w:rFonts w:ascii="Google Sans" w:cs="Google Sans" w:eastAsia="Google Sans" w:hAnsi="Google Sans"/>
          <w:b w:val="1"/>
          <w:color w:val="000000"/>
          <w:sz w:val="22"/>
          <w:szCs w:val="22"/>
          <w:rtl w:val="0"/>
        </w:rPr>
        <w:t xml:space="preserve">Pain Points / Gaps</w:t>
      </w:r>
    </w:p>
    <w:p w:rsidR="00000000" w:rsidDel="00000000" w:rsidP="00000000" w:rsidRDefault="00000000" w:rsidRPr="00000000" w14:paraId="0000001F">
      <w:pPr>
        <w:widowControl w:val="0"/>
        <w:numPr>
          <w:ilvl w:val="0"/>
          <w:numId w:val="5"/>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Mitigating API Cost:</w:t>
      </w:r>
      <w:r w:rsidDel="00000000" w:rsidR="00000000" w:rsidRPr="00000000">
        <w:rPr>
          <w:rFonts w:ascii="Google Sans" w:cs="Google Sans" w:eastAsia="Google Sans" w:hAnsi="Google Sans"/>
          <w:sz w:val="24"/>
          <w:szCs w:val="24"/>
          <w:rtl w:val="0"/>
        </w:rPr>
        <w:t xml:space="preserve"> The platform will address the pain point of high API access costs by using intelligent filtering and search queries to pull only the most relevant data, maximizing the value of each API call. (Source:</w:t>
      </w:r>
      <w:hyperlink r:id="rId52">
        <w:r w:rsidDel="00000000" w:rsidR="00000000" w:rsidRPr="00000000">
          <w:rPr>
            <w:rFonts w:ascii="Google Sans" w:cs="Google Sans" w:eastAsia="Google Sans" w:hAnsi="Google Sans"/>
            <w:sz w:val="24"/>
            <w:szCs w:val="24"/>
            <w:rtl w:val="0"/>
          </w:rPr>
          <w:t xml:space="preserve"> </w:t>
        </w:r>
      </w:hyperlink>
      <w:hyperlink r:id="rId53">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0">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Managing API Instability:</w:t>
      </w:r>
      <w:r w:rsidDel="00000000" w:rsidR="00000000" w:rsidRPr="00000000">
        <w:rPr>
          <w:rFonts w:ascii="Google Sans" w:cs="Google Sans" w:eastAsia="Google Sans" w:hAnsi="Google Sans"/>
          <w:sz w:val="24"/>
          <w:szCs w:val="24"/>
          <w:rtl w:val="0"/>
        </w:rPr>
        <w:t xml:space="preserve"> The platform will be built with an abstraction layer for social media APIs, allowing it to adapt quickly to changes or deprecations with minimal disruption to the overall system. (Source:</w:t>
      </w:r>
      <w:hyperlink r:id="rId54">
        <w:r w:rsidDel="00000000" w:rsidR="00000000" w:rsidRPr="00000000">
          <w:rPr>
            <w:rFonts w:ascii="Google Sans" w:cs="Google Sans" w:eastAsia="Google Sans" w:hAnsi="Google Sans"/>
            <w:sz w:val="24"/>
            <w:szCs w:val="24"/>
            <w:rtl w:val="0"/>
          </w:rPr>
          <w:t xml:space="preserve"> </w:t>
        </w:r>
      </w:hyperlink>
      <w:hyperlink r:id="rId55">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1">
      <w:pPr>
        <w:widowControl w:val="0"/>
        <w:numPr>
          <w:ilvl w:val="0"/>
          <w:numId w:val="5"/>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Improving Algorithmic Transparency:</w:t>
      </w:r>
      <w:r w:rsidDel="00000000" w:rsidR="00000000" w:rsidRPr="00000000">
        <w:rPr>
          <w:rFonts w:ascii="Google Sans" w:cs="Google Sans" w:eastAsia="Google Sans" w:hAnsi="Google Sans"/>
          <w:sz w:val="24"/>
          <w:szCs w:val="24"/>
          <w:rtl w:val="0"/>
        </w:rPr>
        <w:t xml:space="preserve"> While the platform cannot see inside social media algorithms, it can provide transparency by showing operators exactly which keywords and search parameters resulted in a particular post being ingested, addressing the gap in understanding content surfacing. (Source:</w:t>
      </w:r>
      <w:hyperlink r:id="rId56">
        <w:r w:rsidDel="00000000" w:rsidR="00000000" w:rsidRPr="00000000">
          <w:rPr>
            <w:rFonts w:ascii="Google Sans" w:cs="Google Sans" w:eastAsia="Google Sans" w:hAnsi="Google Sans"/>
            <w:sz w:val="24"/>
            <w:szCs w:val="24"/>
            <w:rtl w:val="0"/>
          </w:rPr>
          <w:t xml:space="preserve"> </w:t>
        </w:r>
      </w:hyperlink>
      <w:hyperlink r:id="rId57">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2">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xa3ohuttxzg6" w:id="7"/>
      <w:bookmarkEnd w:id="7"/>
      <w:r w:rsidDel="00000000" w:rsidR="00000000" w:rsidRPr="00000000">
        <w:rPr>
          <w:rFonts w:ascii="Google Sans" w:cs="Google Sans" w:eastAsia="Google Sans" w:hAnsi="Google Sans"/>
          <w:b w:val="1"/>
          <w:color w:val="000000"/>
          <w:sz w:val="22"/>
          <w:szCs w:val="22"/>
          <w:rtl w:val="0"/>
        </w:rPr>
        <w:t xml:space="preserve">Outputs &amp; Deliverables</w:t>
      </w:r>
    </w:p>
    <w:p w:rsidR="00000000" w:rsidDel="00000000" w:rsidP="00000000" w:rsidRDefault="00000000" w:rsidRPr="00000000" w14:paraId="00000023">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Social Listening Dashboards:</w:t>
      </w:r>
      <w:r w:rsidDel="00000000" w:rsidR="00000000" w:rsidRPr="00000000">
        <w:rPr>
          <w:rFonts w:ascii="Google Sans" w:cs="Google Sans" w:eastAsia="Google Sans" w:hAnsi="Google Sans"/>
          <w:sz w:val="24"/>
          <w:szCs w:val="24"/>
          <w:rtl w:val="0"/>
        </w:rPr>
        <w:t xml:space="preserve"> The platform will provide internal dashboards for operators to track keywords and hashtags in real-time, providing analytics on incident reporting volume and sentiment. (Source:</w:t>
      </w:r>
      <w:hyperlink r:id="rId58">
        <w:r w:rsidDel="00000000" w:rsidR="00000000" w:rsidRPr="00000000">
          <w:rPr>
            <w:rFonts w:ascii="Google Sans" w:cs="Google Sans" w:eastAsia="Google Sans" w:hAnsi="Google Sans"/>
            <w:sz w:val="24"/>
            <w:szCs w:val="24"/>
            <w:rtl w:val="0"/>
          </w:rPr>
          <w:t xml:space="preserve"> </w:t>
        </w:r>
      </w:hyperlink>
      <w:hyperlink r:id="rId59">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4">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Real-time Crisis Maps:</w:t>
      </w:r>
      <w:r w:rsidDel="00000000" w:rsidR="00000000" w:rsidRPr="00000000">
        <w:rPr>
          <w:rFonts w:ascii="Google Sans" w:cs="Google Sans" w:eastAsia="Google Sans" w:hAnsi="Google Sans"/>
          <w:sz w:val="24"/>
          <w:szCs w:val="24"/>
          <w:rtl w:val="0"/>
        </w:rPr>
        <w:t xml:space="preserve"> A key deliverable will be the use of geo-tagged social media data to create live maps showing user reports of flooding, fires, or calls for help, aiding situational awareness. (Source:</w:t>
      </w:r>
      <w:hyperlink r:id="rId60">
        <w:r w:rsidDel="00000000" w:rsidR="00000000" w:rsidRPr="00000000">
          <w:rPr>
            <w:rFonts w:ascii="Google Sans" w:cs="Google Sans" w:eastAsia="Google Sans" w:hAnsi="Google Sans"/>
            <w:sz w:val="24"/>
            <w:szCs w:val="24"/>
            <w:rtl w:val="0"/>
          </w:rPr>
          <w:t xml:space="preserve"> </w:t>
        </w:r>
      </w:hyperlink>
      <w:hyperlink r:id="rId61">
        <w:r w:rsidDel="00000000" w:rsidR="00000000" w:rsidRPr="00000000">
          <w:rPr>
            <w:rFonts w:ascii="Google Sans" w:cs="Google Sans" w:eastAsia="Google Sans" w:hAnsi="Google Sans"/>
            <w:color w:val="1155cc"/>
            <w:sz w:val="24"/>
            <w:szCs w:val="24"/>
            <w:u w:val="single"/>
            <w:rtl w:val="0"/>
          </w:rPr>
          <w:t xml:space="preserve">https://developer.twitter.com/en/docs/twitter-api</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5">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Compliance Reports:</w:t>
      </w:r>
      <w:r w:rsidDel="00000000" w:rsidR="00000000" w:rsidRPr="00000000">
        <w:rPr>
          <w:rFonts w:ascii="Google Sans" w:cs="Google Sans" w:eastAsia="Google Sans" w:hAnsi="Google Sans"/>
          <w:sz w:val="24"/>
          <w:szCs w:val="24"/>
          <w:rtl w:val="0"/>
        </w:rPr>
        <w:t xml:space="preserve"> The platform will generate monthly compliance reports detailing the volume of social media data processed and any actions taken in response to user grievances or legal orders, as mandated by the IT Rules. (Source:</w:t>
      </w:r>
      <w:hyperlink r:id="rId62">
        <w:r w:rsidDel="00000000" w:rsidR="00000000" w:rsidRPr="00000000">
          <w:rPr>
            <w:rFonts w:ascii="Google Sans" w:cs="Google Sans" w:eastAsia="Google Sans" w:hAnsi="Google Sans"/>
            <w:sz w:val="24"/>
            <w:szCs w:val="24"/>
            <w:rtl w:val="0"/>
          </w:rPr>
          <w:t xml:space="preserve"> </w:t>
        </w:r>
      </w:hyperlink>
      <w:hyperlink r:id="rId63">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6">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mfna9v95lb6e" w:id="8"/>
      <w:bookmarkEnd w:id="8"/>
      <w:r w:rsidDel="00000000" w:rsidR="00000000" w:rsidRPr="00000000">
        <w:rPr>
          <w:rFonts w:ascii="Google Sans" w:cs="Google Sans" w:eastAsia="Google Sans" w:hAnsi="Google Sans"/>
          <w:b w:val="1"/>
          <w:color w:val="000000"/>
          <w:sz w:val="22"/>
          <w:szCs w:val="22"/>
          <w:rtl w:val="0"/>
        </w:rPr>
        <w:t xml:space="preserve">Compliance &amp; Accountability</w:t>
      </w:r>
    </w:p>
    <w:p w:rsidR="00000000" w:rsidDel="00000000" w:rsidP="00000000" w:rsidRDefault="00000000" w:rsidRPr="00000000" w14:paraId="00000027">
      <w:pPr>
        <w:widowControl w:val="0"/>
        <w:numPr>
          <w:ilvl w:val="0"/>
          <w:numId w:val="9"/>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Monthly Compliance Reporting:</w:t>
      </w:r>
      <w:r w:rsidDel="00000000" w:rsidR="00000000" w:rsidRPr="00000000">
        <w:rPr>
          <w:rFonts w:ascii="Google Sans" w:cs="Google Sans" w:eastAsia="Google Sans" w:hAnsi="Google Sans"/>
          <w:sz w:val="24"/>
          <w:szCs w:val="24"/>
          <w:rtl w:val="0"/>
        </w:rPr>
        <w:t xml:space="preserve"> The platform will automate the generation of monthly reports detailing grievances received related to ingested content and actions taken, in compliance with the IT Rules. (Source:</w:t>
      </w:r>
      <w:hyperlink r:id="rId64">
        <w:r w:rsidDel="00000000" w:rsidR="00000000" w:rsidRPr="00000000">
          <w:rPr>
            <w:rFonts w:ascii="Google Sans" w:cs="Google Sans" w:eastAsia="Google Sans" w:hAnsi="Google Sans"/>
            <w:sz w:val="24"/>
            <w:szCs w:val="24"/>
            <w:rtl w:val="0"/>
          </w:rPr>
          <w:t xml:space="preserve"> </w:t>
        </w:r>
      </w:hyperlink>
      <w:hyperlink r:id="rId65">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8">
      <w:pPr>
        <w:widowControl w:val="0"/>
        <w:numPr>
          <w:ilvl w:val="0"/>
          <w:numId w:val="9"/>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Appointment of In-Country Officers:</w:t>
      </w:r>
      <w:r w:rsidDel="00000000" w:rsidR="00000000" w:rsidRPr="00000000">
        <w:rPr>
          <w:rFonts w:ascii="Google Sans" w:cs="Google Sans" w:eastAsia="Google Sans" w:hAnsi="Google Sans"/>
          <w:sz w:val="24"/>
          <w:szCs w:val="24"/>
          <w:rtl w:val="0"/>
        </w:rPr>
        <w:t xml:space="preserve"> The organization running the platform will appoint the required officers (Compliance, Nodal, Grievance) responsible for overseeing the platform's adherence to the IT Rules. (Source:</w:t>
      </w:r>
      <w:hyperlink r:id="rId66">
        <w:r w:rsidDel="00000000" w:rsidR="00000000" w:rsidRPr="00000000">
          <w:rPr>
            <w:rFonts w:ascii="Google Sans" w:cs="Google Sans" w:eastAsia="Google Sans" w:hAnsi="Google Sans"/>
            <w:sz w:val="24"/>
            <w:szCs w:val="24"/>
            <w:rtl w:val="0"/>
          </w:rPr>
          <w:t xml:space="preserve"> </w:t>
        </w:r>
      </w:hyperlink>
      <w:hyperlink r:id="rId67">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9">
      <w:pPr>
        <w:widowControl w:val="0"/>
        <w:numPr>
          <w:ilvl w:val="0"/>
          <w:numId w:val="9"/>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Conditional Safe Harbor:</w:t>
      </w:r>
      <w:r w:rsidDel="00000000" w:rsidR="00000000" w:rsidRPr="00000000">
        <w:rPr>
          <w:rFonts w:ascii="Google Sans" w:cs="Google Sans" w:eastAsia="Google Sans" w:hAnsi="Google Sans"/>
          <w:sz w:val="24"/>
          <w:szCs w:val="24"/>
          <w:rtl w:val="0"/>
        </w:rPr>
        <w:t xml:space="preserve"> The platform will operate on the principle that its "safe harbor" protection is conditional on its strict compliance with the due diligence and takedown requirements of the IT Rules. (Source:</w:t>
      </w:r>
      <w:hyperlink r:id="rId68">
        <w:r w:rsidDel="00000000" w:rsidR="00000000" w:rsidRPr="00000000">
          <w:rPr>
            <w:rFonts w:ascii="Google Sans" w:cs="Google Sans" w:eastAsia="Google Sans" w:hAnsi="Google Sans"/>
            <w:sz w:val="24"/>
            <w:szCs w:val="24"/>
            <w:rtl w:val="0"/>
          </w:rPr>
          <w:t xml:space="preserve"> </w:t>
        </w:r>
      </w:hyperlink>
      <w:hyperlink r:id="rId69">
        <w:r w:rsidDel="00000000" w:rsidR="00000000" w:rsidRPr="00000000">
          <w:rPr>
            <w:rFonts w:ascii="Google Sans" w:cs="Google Sans" w:eastAsia="Google Sans" w:hAnsi="Google Sans"/>
            <w:color w:val="1155cc"/>
            <w:sz w:val="24"/>
            <w:szCs w:val="24"/>
            <w:u w:val="single"/>
            <w:rtl w:val="0"/>
          </w:rPr>
          <w:t xml:space="preserve">https://www.meity.gov.in/content/pdf/it-rules-2021.pdf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twitter.com/en/docs/twitter-api" TargetMode="External"/><Relationship Id="rId42" Type="http://schemas.openxmlformats.org/officeDocument/2006/relationships/hyperlink" Target="https://www.meity.gov.in/content/pdf/it-rules-2021.pdf" TargetMode="External"/><Relationship Id="rId41" Type="http://schemas.openxmlformats.org/officeDocument/2006/relationships/hyperlink" Target="https://developer.twitter.com/en/docs/twitter-api" TargetMode="External"/><Relationship Id="rId44" Type="http://schemas.openxmlformats.org/officeDocument/2006/relationships/hyperlink" Target="https://www.meity.gov.in/content/pdf/it-rules-2021.pdf" TargetMode="External"/><Relationship Id="rId43" Type="http://schemas.openxmlformats.org/officeDocument/2006/relationships/hyperlink" Target="https://www.meity.gov.in/content/pdf/it-rules-2021.pdf" TargetMode="External"/><Relationship Id="rId46" Type="http://schemas.openxmlformats.org/officeDocument/2006/relationships/hyperlink" Target="https://developers.facebook.com/docs/graph-api/" TargetMode="External"/><Relationship Id="rId45" Type="http://schemas.openxmlformats.org/officeDocument/2006/relationships/hyperlink" Target="https://www.meity.gov.in/content/pdf/it-rules-202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ity.gov.in/content/pdf/it-rules-2021.pdf" TargetMode="External"/><Relationship Id="rId48" Type="http://schemas.openxmlformats.org/officeDocument/2006/relationships/hyperlink" Target="https://developer.twitter.com/en/docs/twitter-api" TargetMode="External"/><Relationship Id="rId47" Type="http://schemas.openxmlformats.org/officeDocument/2006/relationships/hyperlink" Target="https://developers.facebook.com/docs/graph-api/" TargetMode="External"/><Relationship Id="rId49" Type="http://schemas.openxmlformats.org/officeDocument/2006/relationships/hyperlink" Target="https://developer.twitter.com/en/docs/twitter-api" TargetMode="External"/><Relationship Id="rId5" Type="http://schemas.openxmlformats.org/officeDocument/2006/relationships/styles" Target="styles.xml"/><Relationship Id="rId6" Type="http://schemas.openxmlformats.org/officeDocument/2006/relationships/hyperlink" Target="https://developer.twitter.com/en/docs/twitter-api" TargetMode="External"/><Relationship Id="rId7" Type="http://schemas.openxmlformats.org/officeDocument/2006/relationships/hyperlink" Target="https://developer.twitter.com/en/docs/twitter-api" TargetMode="External"/><Relationship Id="rId8" Type="http://schemas.openxmlformats.org/officeDocument/2006/relationships/hyperlink" Target="https://www.meity.gov.in/content/pdf/it-rules-2021.pdf" TargetMode="External"/><Relationship Id="rId31" Type="http://schemas.openxmlformats.org/officeDocument/2006/relationships/hyperlink" Target="https://developer.twitter.com/en/docs/twitter-api" TargetMode="External"/><Relationship Id="rId30" Type="http://schemas.openxmlformats.org/officeDocument/2006/relationships/hyperlink" Target="https://developer.twitter.com/en/docs/twitter-api" TargetMode="External"/><Relationship Id="rId33" Type="http://schemas.openxmlformats.org/officeDocument/2006/relationships/hyperlink" Target="https://developer.twitter.com/en/docs/twitter-api" TargetMode="External"/><Relationship Id="rId32" Type="http://schemas.openxmlformats.org/officeDocument/2006/relationships/hyperlink" Target="https://developer.twitter.com/en/docs/twitter-api" TargetMode="External"/><Relationship Id="rId35" Type="http://schemas.openxmlformats.org/officeDocument/2006/relationships/hyperlink" Target="https://www.meity.gov.in/content/pdf/it-rules-2021.pdf" TargetMode="External"/><Relationship Id="rId34" Type="http://schemas.openxmlformats.org/officeDocument/2006/relationships/hyperlink" Target="https://www.meity.gov.in/content/pdf/it-rules-2021.pdf" TargetMode="External"/><Relationship Id="rId37" Type="http://schemas.openxmlformats.org/officeDocument/2006/relationships/hyperlink" Target="https://developers.facebook.com/docs/graph-api/" TargetMode="External"/><Relationship Id="rId36" Type="http://schemas.openxmlformats.org/officeDocument/2006/relationships/hyperlink" Target="https://developers.facebook.com/docs/graph-api/" TargetMode="External"/><Relationship Id="rId39" Type="http://schemas.openxmlformats.org/officeDocument/2006/relationships/hyperlink" Target="https://developer.twitter.com/en/docs/twitter-api" TargetMode="External"/><Relationship Id="rId38" Type="http://schemas.openxmlformats.org/officeDocument/2006/relationships/hyperlink" Target="https://developer.twitter.com/en/docs/twitter-api" TargetMode="External"/><Relationship Id="rId62" Type="http://schemas.openxmlformats.org/officeDocument/2006/relationships/hyperlink" Target="https://www.meity.gov.in/content/pdf/it-rules-2021.pdf" TargetMode="External"/><Relationship Id="rId61" Type="http://schemas.openxmlformats.org/officeDocument/2006/relationships/hyperlink" Target="https://developer.twitter.com/en/docs/twitter-api" TargetMode="External"/><Relationship Id="rId20" Type="http://schemas.openxmlformats.org/officeDocument/2006/relationships/hyperlink" Target="https://www.meity.gov.in/content/pdf/it-rules-2021.pdf" TargetMode="External"/><Relationship Id="rId64" Type="http://schemas.openxmlformats.org/officeDocument/2006/relationships/hyperlink" Target="https://www.meity.gov.in/content/pdf/it-rules-2021.pdf" TargetMode="External"/><Relationship Id="rId63" Type="http://schemas.openxmlformats.org/officeDocument/2006/relationships/hyperlink" Target="https://www.meity.gov.in/content/pdf/it-rules-2021.pdf" TargetMode="External"/><Relationship Id="rId22" Type="http://schemas.openxmlformats.org/officeDocument/2006/relationships/hyperlink" Target="https://developer.twitter.com/en/docs/twitter-api" TargetMode="External"/><Relationship Id="rId66" Type="http://schemas.openxmlformats.org/officeDocument/2006/relationships/hyperlink" Target="https://www.meity.gov.in/content/pdf/it-rules-2021.pdf" TargetMode="External"/><Relationship Id="rId21" Type="http://schemas.openxmlformats.org/officeDocument/2006/relationships/hyperlink" Target="https://www.meity.gov.in/content/pdf/it-rules-2021.pdf" TargetMode="External"/><Relationship Id="rId65" Type="http://schemas.openxmlformats.org/officeDocument/2006/relationships/hyperlink" Target="https://www.meity.gov.in/content/pdf/it-rules-2021.pdf" TargetMode="External"/><Relationship Id="rId24" Type="http://schemas.openxmlformats.org/officeDocument/2006/relationships/hyperlink" Target="https://developers.facebook.com/docs/graph-api/webhooks/" TargetMode="External"/><Relationship Id="rId68" Type="http://schemas.openxmlformats.org/officeDocument/2006/relationships/hyperlink" Target="https://www.meity.gov.in/content/pdf/it-rules-2021.pdf" TargetMode="External"/><Relationship Id="rId23" Type="http://schemas.openxmlformats.org/officeDocument/2006/relationships/hyperlink" Target="https://developer.twitter.com/en/docs/twitter-api" TargetMode="External"/><Relationship Id="rId67" Type="http://schemas.openxmlformats.org/officeDocument/2006/relationships/hyperlink" Target="https://www.meity.gov.in/content/pdf/it-rules-2021.pdf" TargetMode="External"/><Relationship Id="rId60" Type="http://schemas.openxmlformats.org/officeDocument/2006/relationships/hyperlink" Target="https://developer.twitter.com/en/docs/twitter-api" TargetMode="External"/><Relationship Id="rId26" Type="http://schemas.openxmlformats.org/officeDocument/2006/relationships/hyperlink" Target="https://www.meity.gov.in/content/pdf/it-rules-2021.pdf" TargetMode="External"/><Relationship Id="rId25" Type="http://schemas.openxmlformats.org/officeDocument/2006/relationships/hyperlink" Target="https://developers.facebook.com/docs/graph-api/webhooks/" TargetMode="External"/><Relationship Id="rId69" Type="http://schemas.openxmlformats.org/officeDocument/2006/relationships/hyperlink" Target="https://www.meity.gov.in/content/pdf/it-rules-2021.pdf" TargetMode="External"/><Relationship Id="rId28" Type="http://schemas.openxmlformats.org/officeDocument/2006/relationships/hyperlink" Target="https://www.meity.gov.in/content/pdf/it-rules-2021.pdf" TargetMode="External"/><Relationship Id="rId27" Type="http://schemas.openxmlformats.org/officeDocument/2006/relationships/hyperlink" Target="https://www.meity.gov.in/content/pdf/it-rules-2021.pdf" TargetMode="External"/><Relationship Id="rId29" Type="http://schemas.openxmlformats.org/officeDocument/2006/relationships/hyperlink" Target="https://www.meity.gov.in/content/pdf/it-rules-2021.pdf" TargetMode="External"/><Relationship Id="rId51" Type="http://schemas.openxmlformats.org/officeDocument/2006/relationships/hyperlink" Target="https://developer.twitter.com/en/docs/twitter-api" TargetMode="External"/><Relationship Id="rId50" Type="http://schemas.openxmlformats.org/officeDocument/2006/relationships/hyperlink" Target="https://developer.twitter.com/en/docs/twitter-api" TargetMode="External"/><Relationship Id="rId53" Type="http://schemas.openxmlformats.org/officeDocument/2006/relationships/hyperlink" Target="https://developer.twitter.com/en/docs/twitter-api" TargetMode="External"/><Relationship Id="rId52" Type="http://schemas.openxmlformats.org/officeDocument/2006/relationships/hyperlink" Target="https://developer.twitter.com/en/docs/twitter-api" TargetMode="External"/><Relationship Id="rId11" Type="http://schemas.openxmlformats.org/officeDocument/2006/relationships/hyperlink" Target="https://www.meity.gov.in/content/pdf/it-rules-2021.pdf" TargetMode="External"/><Relationship Id="rId55" Type="http://schemas.openxmlformats.org/officeDocument/2006/relationships/hyperlink" Target="https://developer.twitter.com/en/docs/twitter-api" TargetMode="External"/><Relationship Id="rId10" Type="http://schemas.openxmlformats.org/officeDocument/2006/relationships/hyperlink" Target="https://www.meity.gov.in/content/pdf/it-rules-2021.pdf" TargetMode="External"/><Relationship Id="rId54" Type="http://schemas.openxmlformats.org/officeDocument/2006/relationships/hyperlink" Target="https://developer.twitter.com/en/docs/twitter-api" TargetMode="External"/><Relationship Id="rId13" Type="http://schemas.openxmlformats.org/officeDocument/2006/relationships/hyperlink" Target="https://developers.facebook.com/docs/whatsapp/cloud-api/" TargetMode="External"/><Relationship Id="rId57" Type="http://schemas.openxmlformats.org/officeDocument/2006/relationships/hyperlink" Target="https://www.meity.gov.in/content/pdf/it-rules-2021.pdf" TargetMode="External"/><Relationship Id="rId12" Type="http://schemas.openxmlformats.org/officeDocument/2006/relationships/hyperlink" Target="https://developers.facebook.com/docs/whatsapp/cloud-api/" TargetMode="External"/><Relationship Id="rId56" Type="http://schemas.openxmlformats.org/officeDocument/2006/relationships/hyperlink" Target="https://www.meity.gov.in/content/pdf/it-rules-2021.pdf" TargetMode="External"/><Relationship Id="rId15" Type="http://schemas.openxmlformats.org/officeDocument/2006/relationships/hyperlink" Target="https://developer.twitter.com/en/docs/twitter-api" TargetMode="External"/><Relationship Id="rId59" Type="http://schemas.openxmlformats.org/officeDocument/2006/relationships/hyperlink" Target="https://developer.twitter.com/en/docs/twitter-api" TargetMode="External"/><Relationship Id="rId14" Type="http://schemas.openxmlformats.org/officeDocument/2006/relationships/hyperlink" Target="https://developer.twitter.com/en/docs/twitter-api" TargetMode="External"/><Relationship Id="rId58" Type="http://schemas.openxmlformats.org/officeDocument/2006/relationships/hyperlink" Target="https://developer.twitter.com/en/docs/twitter-api" TargetMode="External"/><Relationship Id="rId17" Type="http://schemas.openxmlformats.org/officeDocument/2006/relationships/hyperlink" Target="https://www.meity.gov.in/content/pdf/it-rules-2021.pdf" TargetMode="External"/><Relationship Id="rId16" Type="http://schemas.openxmlformats.org/officeDocument/2006/relationships/hyperlink" Target="https://www.meity.gov.in/content/pdf/it-rules-2021.pdf" TargetMode="External"/><Relationship Id="rId19" Type="http://schemas.openxmlformats.org/officeDocument/2006/relationships/hyperlink" Target="https://www.meity.gov.in/content/pdf/it-rules-2021.pdf" TargetMode="External"/><Relationship Id="rId18" Type="http://schemas.openxmlformats.org/officeDocument/2006/relationships/hyperlink" Target="https://www.meity.gov.in/content/pdf/it-rules-202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