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c70t0zejku24" w:id="0"/>
      <w:bookmarkEnd w:id="0"/>
      <w:r w:rsidDel="00000000" w:rsidR="00000000" w:rsidRPr="00000000">
        <w:rPr>
          <w:rFonts w:ascii="Google Sans" w:cs="Google Sans" w:eastAsia="Google Sans" w:hAnsi="Google Sans"/>
          <w:b w:val="1"/>
          <w:color w:val="000000"/>
          <w:sz w:val="22"/>
          <w:szCs w:val="22"/>
          <w:rtl w:val="0"/>
        </w:rPr>
        <w:t xml:space="preserve">Purpose &amp; Goals</w:t>
      </w:r>
    </w:p>
    <w:p w:rsidR="00000000" w:rsidDel="00000000" w:rsidP="00000000" w:rsidRDefault="00000000" w:rsidRPr="00000000" w14:paraId="00000002">
      <w:pPr>
        <w:widowControl w:val="0"/>
        <w:numPr>
          <w:ilvl w:val="0"/>
          <w:numId w:val="4"/>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platform is designed to digitize and enforce a structured response mechanism, helping to minimize loss of life and property by ensuring adherence to established SOPs. (Source:</w:t>
      </w:r>
      <w:hyperlink r:id="rId6">
        <w:r w:rsidDel="00000000" w:rsidR="00000000" w:rsidRPr="00000000">
          <w:rPr>
            <w:rFonts w:ascii="Google Sans" w:cs="Google Sans" w:eastAsia="Google Sans" w:hAnsi="Google Sans"/>
            <w:sz w:val="24"/>
            <w:szCs w:val="24"/>
            <w:rtl w:val="0"/>
          </w:rPr>
          <w:t xml:space="preserve"> </w:t>
        </w:r>
      </w:hyperlink>
      <w:hyperlink r:id="rId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3">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platform will provide a clear, technology-driven chain of command through its role-based access and tasking features, directly supporting the Incident Response System (IRS). (Source:</w:t>
      </w:r>
      <w:hyperlink r:id="rId8">
        <w:r w:rsidDel="00000000" w:rsidR="00000000" w:rsidRPr="00000000">
          <w:rPr>
            <w:rFonts w:ascii="Google Sans" w:cs="Google Sans" w:eastAsia="Google Sans" w:hAnsi="Google Sans"/>
            <w:sz w:val="24"/>
            <w:szCs w:val="24"/>
            <w:rtl w:val="0"/>
          </w:rPr>
          <w:t xml:space="preserve"> </w:t>
        </w:r>
      </w:hyperlink>
      <w:hyperlink r:id="rId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4">
      <w:pPr>
        <w:widowControl w:val="0"/>
        <w:numPr>
          <w:ilvl w:val="0"/>
          <w:numId w:val="4"/>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ingesting multi-source data and using GenAI for triage, the platform will help shift the response from a reactive, relief-centric model to a proactive, data-driven approach encompassing prevention and preparedness. (Source:</w:t>
      </w:r>
      <w:hyperlink r:id="rId10">
        <w:r w:rsidDel="00000000" w:rsidR="00000000" w:rsidRPr="00000000">
          <w:rPr>
            <w:rFonts w:ascii="Google Sans" w:cs="Google Sans" w:eastAsia="Google Sans" w:hAnsi="Google Sans"/>
            <w:sz w:val="24"/>
            <w:szCs w:val="24"/>
            <w:rtl w:val="0"/>
          </w:rPr>
          <w:t xml:space="preserve"> </w:t>
        </w:r>
      </w:hyperlink>
      <w:hyperlink r:id="rId1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5">
      <w:pPr>
        <w:widowControl w:val="0"/>
        <w:numPr>
          <w:ilvl w:val="0"/>
          <w:numId w:val="4"/>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platform will serve as a primary tool for the National Disaster Response Force (NDRF), providing them with real-time incident data and mapping to deliver a more effective specialized response. (Source:</w:t>
      </w:r>
      <w:hyperlink r:id="rId12">
        <w:r w:rsidDel="00000000" w:rsidR="00000000" w:rsidRPr="00000000">
          <w:rPr>
            <w:rFonts w:ascii="Google Sans" w:cs="Google Sans" w:eastAsia="Google Sans" w:hAnsi="Google Sans"/>
            <w:sz w:val="24"/>
            <w:szCs w:val="24"/>
            <w:rtl w:val="0"/>
          </w:rPr>
          <w:t xml:space="preserve"> </w:t>
        </w:r>
      </w:hyperlink>
      <w:hyperlink r:id="rId1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6">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80slkc73il30" w:id="1"/>
      <w:bookmarkEnd w:id="1"/>
      <w:r w:rsidDel="00000000" w:rsidR="00000000" w:rsidRPr="00000000">
        <w:rPr>
          <w:rFonts w:ascii="Google Sans" w:cs="Google Sans" w:eastAsia="Google Sans" w:hAnsi="Google Sans"/>
          <w:b w:val="1"/>
          <w:color w:val="000000"/>
          <w:sz w:val="22"/>
          <w:szCs w:val="22"/>
          <w:rtl w:val="0"/>
        </w:rPr>
        <w:t xml:space="preserve">Stakeholders &amp; Roles</w:t>
      </w:r>
    </w:p>
    <w:p w:rsidR="00000000" w:rsidDel="00000000" w:rsidP="00000000" w:rsidRDefault="00000000" w:rsidRPr="00000000" w14:paraId="00000007">
      <w:pPr>
        <w:widowControl w:val="0"/>
        <w:numPr>
          <w:ilvl w:val="0"/>
          <w:numId w:val="5"/>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National Disaster Management Authority (NDMA):</w:t>
      </w:r>
      <w:r w:rsidDel="00000000" w:rsidR="00000000" w:rsidRPr="00000000">
        <w:rPr>
          <w:rFonts w:ascii="Google Sans" w:cs="Google Sans" w:eastAsia="Google Sans" w:hAnsi="Google Sans"/>
          <w:sz w:val="24"/>
          <w:szCs w:val="24"/>
          <w:rtl w:val="0"/>
        </w:rPr>
        <w:t xml:space="preserve"> Will have a strategic-level login to view national-level dashboards, monitor large-scale incidents, and access analytics to inform policy. (Source:</w:t>
      </w:r>
      <w:hyperlink r:id="rId14">
        <w:r w:rsidDel="00000000" w:rsidR="00000000" w:rsidRPr="00000000">
          <w:rPr>
            <w:rFonts w:ascii="Google Sans" w:cs="Google Sans" w:eastAsia="Google Sans" w:hAnsi="Google Sans"/>
            <w:sz w:val="24"/>
            <w:szCs w:val="24"/>
            <w:rtl w:val="0"/>
          </w:rPr>
          <w:t xml:space="preserve"> </w:t>
        </w:r>
      </w:hyperlink>
      <w:hyperlink r:id="rId1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8">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District Disaster Management Authority (DDMA):</w:t>
      </w:r>
      <w:r w:rsidDel="00000000" w:rsidR="00000000" w:rsidRPr="00000000">
        <w:rPr>
          <w:rFonts w:ascii="Google Sans" w:cs="Google Sans" w:eastAsia="Google Sans" w:hAnsi="Google Sans"/>
          <w:sz w:val="24"/>
          <w:szCs w:val="24"/>
          <w:rtl w:val="0"/>
        </w:rPr>
        <w:t xml:space="preserve"> This will be the primary operational user. The platform will provide the DDMA with the tools to plan, coordinate, and implement the response at the district level using the shared map and communication modules. (Source:</w:t>
      </w:r>
      <w:hyperlink r:id="rId16">
        <w:r w:rsidDel="00000000" w:rsidR="00000000" w:rsidRPr="00000000">
          <w:rPr>
            <w:rFonts w:ascii="Google Sans" w:cs="Google Sans" w:eastAsia="Google Sans" w:hAnsi="Google Sans"/>
            <w:sz w:val="24"/>
            <w:szCs w:val="24"/>
            <w:rtl w:val="0"/>
          </w:rPr>
          <w:t xml:space="preserve"> </w:t>
        </w:r>
      </w:hyperlink>
      <w:hyperlink r:id="rId1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9">
      <w:pPr>
        <w:widowControl w:val="0"/>
        <w:numPr>
          <w:ilvl w:val="0"/>
          <w:numId w:val="5"/>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National Disaster Response Force (NDRF):</w:t>
      </w:r>
      <w:r w:rsidDel="00000000" w:rsidR="00000000" w:rsidRPr="00000000">
        <w:rPr>
          <w:rFonts w:ascii="Google Sans" w:cs="Google Sans" w:eastAsia="Google Sans" w:hAnsi="Google Sans"/>
          <w:sz w:val="24"/>
          <w:szCs w:val="24"/>
          <w:rtl w:val="0"/>
        </w:rPr>
        <w:t xml:space="preserve"> Field teams will use the platform's mobile app to receive dispatch orders, get incident details, navigate to the location, and report back on search and rescue operations. (Source:</w:t>
      </w:r>
      <w:hyperlink r:id="rId18">
        <w:r w:rsidDel="00000000" w:rsidR="00000000" w:rsidRPr="00000000">
          <w:rPr>
            <w:rFonts w:ascii="Google Sans" w:cs="Google Sans" w:eastAsia="Google Sans" w:hAnsi="Google Sans"/>
            <w:sz w:val="24"/>
            <w:szCs w:val="24"/>
            <w:rtl w:val="0"/>
          </w:rPr>
          <w:t xml:space="preserve"> </w:t>
        </w:r>
      </w:hyperlink>
      <w:hyperlink r:id="rId1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A">
      <w:pPr>
        <w:widowControl w:val="0"/>
        <w:numPr>
          <w:ilvl w:val="0"/>
          <w:numId w:val="5"/>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Armed Forces:</w:t>
      </w:r>
      <w:r w:rsidDel="00000000" w:rsidR="00000000" w:rsidRPr="00000000">
        <w:rPr>
          <w:rFonts w:ascii="Google Sans" w:cs="Google Sans" w:eastAsia="Google Sans" w:hAnsi="Google Sans"/>
          <w:sz w:val="24"/>
          <w:szCs w:val="24"/>
          <w:rtl w:val="0"/>
        </w:rPr>
        <w:t xml:space="preserve"> Where deployed, armed forces units can be granted access to the platform's common operational picture to ensure seamless coordination of logistics, transport, and communication support. (Source:</w:t>
      </w:r>
      <w:hyperlink r:id="rId20">
        <w:r w:rsidDel="00000000" w:rsidR="00000000" w:rsidRPr="00000000">
          <w:rPr>
            <w:rFonts w:ascii="Google Sans" w:cs="Google Sans" w:eastAsia="Google Sans" w:hAnsi="Google Sans"/>
            <w:sz w:val="24"/>
            <w:szCs w:val="24"/>
            <w:rtl w:val="0"/>
          </w:rPr>
          <w:t xml:space="preserve"> </w:t>
        </w:r>
      </w:hyperlink>
      <w:hyperlink r:id="rId2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B">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oabpx4u8pnec" w:id="2"/>
      <w:bookmarkEnd w:id="2"/>
      <w:r w:rsidDel="00000000" w:rsidR="00000000" w:rsidRPr="00000000">
        <w:rPr>
          <w:rFonts w:ascii="Google Sans" w:cs="Google Sans" w:eastAsia="Google Sans" w:hAnsi="Google Sans"/>
          <w:b w:val="1"/>
          <w:color w:val="000000"/>
          <w:sz w:val="22"/>
          <w:szCs w:val="22"/>
          <w:rtl w:val="0"/>
        </w:rPr>
        <w:t xml:space="preserve">Processes &amp; Workflows</w:t>
      </w:r>
    </w:p>
    <w:p w:rsidR="00000000" w:rsidDel="00000000" w:rsidP="00000000" w:rsidRDefault="00000000" w:rsidRPr="00000000" w14:paraId="0000000C">
      <w:pPr>
        <w:widowControl w:val="0"/>
        <w:numPr>
          <w:ilvl w:val="0"/>
          <w:numId w:val="3"/>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Early Warning Integration:</w:t>
      </w:r>
      <w:r w:rsidDel="00000000" w:rsidR="00000000" w:rsidRPr="00000000">
        <w:rPr>
          <w:rFonts w:ascii="Google Sans" w:cs="Google Sans" w:eastAsia="Google Sans" w:hAnsi="Google Sans"/>
          <w:sz w:val="24"/>
          <w:szCs w:val="24"/>
          <w:rtl w:val="0"/>
        </w:rPr>
        <w:t xml:space="preserve"> The platform will have a workflow to ingest early warning alerts from agencies like the IMD and automatically create preliminary incident zones on the map for proactive monitoring. (Source:</w:t>
      </w:r>
      <w:hyperlink r:id="rId22">
        <w:r w:rsidDel="00000000" w:rsidR="00000000" w:rsidRPr="00000000">
          <w:rPr>
            <w:rFonts w:ascii="Google Sans" w:cs="Google Sans" w:eastAsia="Google Sans" w:hAnsi="Google Sans"/>
            <w:sz w:val="24"/>
            <w:szCs w:val="24"/>
            <w:rtl w:val="0"/>
          </w:rPr>
          <w:t xml:space="preserve"> </w:t>
        </w:r>
      </w:hyperlink>
      <w:hyperlink r:id="rId2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D">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Incident Response System (IRS) Activation:</w:t>
      </w:r>
      <w:r w:rsidDel="00000000" w:rsidR="00000000" w:rsidRPr="00000000">
        <w:rPr>
          <w:rFonts w:ascii="Google Sans" w:cs="Google Sans" w:eastAsia="Google Sans" w:hAnsi="Google Sans"/>
          <w:sz w:val="24"/>
          <w:szCs w:val="24"/>
          <w:rtl w:val="0"/>
        </w:rPr>
        <w:t xml:space="preserve"> When an incident is validated, the platform will automatically create a digital Incident Command Post, allowing the Incident Commander to manage the response using the platform's tools, mirroring the official IRS structure. (Source:</w:t>
      </w:r>
      <w:hyperlink r:id="rId24">
        <w:r w:rsidDel="00000000" w:rsidR="00000000" w:rsidRPr="00000000">
          <w:rPr>
            <w:rFonts w:ascii="Google Sans" w:cs="Google Sans" w:eastAsia="Google Sans" w:hAnsi="Google Sans"/>
            <w:sz w:val="24"/>
            <w:szCs w:val="24"/>
            <w:rtl w:val="0"/>
          </w:rPr>
          <w:t xml:space="preserve"> </w:t>
        </w:r>
      </w:hyperlink>
      <w:hyperlink r:id="rId2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E">
      <w:pPr>
        <w:widowControl w:val="0"/>
        <w:numPr>
          <w:ilvl w:val="0"/>
          <w:numId w:val="3"/>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Search and Rescue (SAR) Tasking:</w:t>
      </w:r>
      <w:r w:rsidDel="00000000" w:rsidR="00000000" w:rsidRPr="00000000">
        <w:rPr>
          <w:rFonts w:ascii="Google Sans" w:cs="Google Sans" w:eastAsia="Google Sans" w:hAnsi="Google Sans"/>
          <w:sz w:val="24"/>
          <w:szCs w:val="24"/>
          <w:rtl w:val="0"/>
        </w:rPr>
        <w:t xml:space="preserve"> The platform will allow the Incident Commander to create and assign specific SAR tasks to NDRF or SDRF teams, who can then accept and provide real-time status updates through the mobile app. (Source:</w:t>
      </w:r>
      <w:hyperlink r:id="rId26">
        <w:r w:rsidDel="00000000" w:rsidR="00000000" w:rsidRPr="00000000">
          <w:rPr>
            <w:rFonts w:ascii="Google Sans" w:cs="Google Sans" w:eastAsia="Google Sans" w:hAnsi="Google Sans"/>
            <w:sz w:val="24"/>
            <w:szCs w:val="24"/>
            <w:rtl w:val="0"/>
          </w:rPr>
          <w:t xml:space="preserve"> </w:t>
        </w:r>
      </w:hyperlink>
      <w:hyperlink r:id="rId2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0F">
      <w:pPr>
        <w:widowControl w:val="0"/>
        <w:numPr>
          <w:ilvl w:val="0"/>
          <w:numId w:val="3"/>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Automated Post-Disaster Needs Assessment (PDNA) Data Collection:</w:t>
      </w:r>
      <w:r w:rsidDel="00000000" w:rsidR="00000000" w:rsidRPr="00000000">
        <w:rPr>
          <w:rFonts w:ascii="Google Sans" w:cs="Google Sans" w:eastAsia="Google Sans" w:hAnsi="Google Sans"/>
          <w:sz w:val="24"/>
          <w:szCs w:val="24"/>
          <w:rtl w:val="0"/>
        </w:rPr>
        <w:t xml:space="preserve"> The platform will archive all incident data (communications, reports, imagery) to create a comprehensive digital record that can be used to generate initial data for the PDNA report, detailing the extent of damage and losses. (Source:</w:t>
      </w:r>
      <w:hyperlink r:id="rId28">
        <w:r w:rsidDel="00000000" w:rsidR="00000000" w:rsidRPr="00000000">
          <w:rPr>
            <w:rFonts w:ascii="Google Sans" w:cs="Google Sans" w:eastAsia="Google Sans" w:hAnsi="Google Sans"/>
            <w:sz w:val="24"/>
            <w:szCs w:val="24"/>
            <w:rtl w:val="0"/>
          </w:rPr>
          <w:t xml:space="preserve"> </w:t>
        </w:r>
      </w:hyperlink>
      <w:hyperlink r:id="rId2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npo0oscveyt5" w:id="3"/>
      <w:bookmarkEnd w:id="3"/>
      <w:r w:rsidDel="00000000" w:rsidR="00000000" w:rsidRPr="00000000">
        <w:rPr>
          <w:rFonts w:ascii="Google Sans" w:cs="Google Sans" w:eastAsia="Google Sans" w:hAnsi="Google Sans"/>
          <w:b w:val="1"/>
          <w:color w:val="000000"/>
          <w:sz w:val="22"/>
          <w:szCs w:val="22"/>
          <w:rtl w:val="0"/>
        </w:rPr>
        <w:t xml:space="preserve">Data Requirements</w:t>
      </w:r>
    </w:p>
    <w:p w:rsidR="00000000" w:rsidDel="00000000" w:rsidP="00000000" w:rsidRDefault="00000000" w:rsidRPr="00000000" w14:paraId="00000011">
      <w:pPr>
        <w:widowControl w:val="0"/>
        <w:numPr>
          <w:ilvl w:val="0"/>
          <w:numId w:val="6"/>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Resource Inventory Integration:</w:t>
      </w:r>
      <w:r w:rsidDel="00000000" w:rsidR="00000000" w:rsidRPr="00000000">
        <w:rPr>
          <w:rFonts w:ascii="Google Sans" w:cs="Google Sans" w:eastAsia="Google Sans" w:hAnsi="Google Sans"/>
          <w:sz w:val="24"/>
          <w:szCs w:val="24"/>
          <w:rtl w:val="0"/>
        </w:rPr>
        <w:t xml:space="preserve"> The platform must integrate with or host an up-to-date inventory of resources (equipment, manpower, relief supplies) to enable quick and efficient mobilization during an incident. (Source:</w:t>
      </w:r>
      <w:hyperlink r:id="rId30">
        <w:r w:rsidDel="00000000" w:rsidR="00000000" w:rsidRPr="00000000">
          <w:rPr>
            <w:rFonts w:ascii="Google Sans" w:cs="Google Sans" w:eastAsia="Google Sans" w:hAnsi="Google Sans"/>
            <w:sz w:val="24"/>
            <w:szCs w:val="24"/>
            <w:rtl w:val="0"/>
          </w:rPr>
          <w:t xml:space="preserve"> </w:t>
        </w:r>
      </w:hyperlink>
      <w:hyperlink r:id="rId3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2">
      <w:pPr>
        <w:widowControl w:val="0"/>
        <w:numPr>
          <w:ilvl w:val="0"/>
          <w:numId w:val="6"/>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Geospatial Data Layers:</w:t>
      </w:r>
      <w:r w:rsidDel="00000000" w:rsidR="00000000" w:rsidRPr="00000000">
        <w:rPr>
          <w:rFonts w:ascii="Google Sans" w:cs="Google Sans" w:eastAsia="Google Sans" w:hAnsi="Google Sans"/>
          <w:sz w:val="24"/>
          <w:szCs w:val="24"/>
          <w:rtl w:val="0"/>
        </w:rPr>
        <w:t xml:space="preserve"> The platform must support multiple GIS layers, including hazard maps (seismic, flood zones), vulnerability data, and real-time satellite imagery to aid in response planning and damage assessment. (Source:</w:t>
      </w:r>
      <w:hyperlink r:id="rId32">
        <w:r w:rsidDel="00000000" w:rsidR="00000000" w:rsidRPr="00000000">
          <w:rPr>
            <w:rFonts w:ascii="Google Sans" w:cs="Google Sans" w:eastAsia="Google Sans" w:hAnsi="Google Sans"/>
            <w:sz w:val="24"/>
            <w:szCs w:val="24"/>
            <w:rtl w:val="0"/>
          </w:rPr>
          <w:t xml:space="preserve"> </w:t>
        </w:r>
      </w:hyperlink>
      <w:hyperlink r:id="rId3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3">
      <w:pPr>
        <w:widowControl w:val="0"/>
        <w:numPr>
          <w:ilvl w:val="0"/>
          <w:numId w:val="6"/>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Immutable Incident Logs:</w:t>
      </w:r>
      <w:r w:rsidDel="00000000" w:rsidR="00000000" w:rsidRPr="00000000">
        <w:rPr>
          <w:rFonts w:ascii="Google Sans" w:cs="Google Sans" w:eastAsia="Google Sans" w:hAnsi="Google Sans"/>
          <w:sz w:val="24"/>
          <w:szCs w:val="24"/>
          <w:rtl w:val="0"/>
        </w:rPr>
        <w:t xml:space="preserve"> The platform must maintain detailed, timestamped, and unalterable logs of all actions, decisions, and communications for each incident to support operational management and post-incident analysis. (Source:</w:t>
      </w:r>
      <w:hyperlink r:id="rId34">
        <w:r w:rsidDel="00000000" w:rsidR="00000000" w:rsidRPr="00000000">
          <w:rPr>
            <w:rFonts w:ascii="Google Sans" w:cs="Google Sans" w:eastAsia="Google Sans" w:hAnsi="Google Sans"/>
            <w:sz w:val="24"/>
            <w:szCs w:val="24"/>
            <w:rtl w:val="0"/>
          </w:rPr>
          <w:t xml:space="preserve"> </w:t>
        </w:r>
      </w:hyperlink>
      <w:hyperlink r:id="rId3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r8xhkpscms" w:id="4"/>
      <w:bookmarkEnd w:id="4"/>
      <w:r w:rsidDel="00000000" w:rsidR="00000000" w:rsidRPr="00000000">
        <w:rPr>
          <w:rFonts w:ascii="Google Sans" w:cs="Google Sans" w:eastAsia="Google Sans" w:hAnsi="Google Sans"/>
          <w:b w:val="1"/>
          <w:color w:val="000000"/>
          <w:sz w:val="22"/>
          <w:szCs w:val="22"/>
          <w:rtl w:val="0"/>
        </w:rPr>
        <w:t xml:space="preserve">Constraints &amp; Rules</w:t>
      </w:r>
    </w:p>
    <w:p w:rsidR="00000000" w:rsidDel="00000000" w:rsidP="00000000" w:rsidRDefault="00000000" w:rsidRPr="00000000" w14:paraId="00000015">
      <w:pPr>
        <w:widowControl w:val="0"/>
        <w:numPr>
          <w:ilvl w:val="0"/>
          <w:numId w:val="7"/>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Adherence to DM Act, 2005:</w:t>
      </w:r>
      <w:r w:rsidDel="00000000" w:rsidR="00000000" w:rsidRPr="00000000">
        <w:rPr>
          <w:rFonts w:ascii="Google Sans" w:cs="Google Sans" w:eastAsia="Google Sans" w:hAnsi="Google Sans"/>
          <w:sz w:val="24"/>
          <w:szCs w:val="24"/>
          <w:rtl w:val="0"/>
        </w:rPr>
        <w:t xml:space="preserve"> All platform workflows, roles, and permissions must be designed to operate within the legal framework of the Disaster Management Act, 2005, reinforcing the defined powers and functions of various authorities. (Source:</w:t>
      </w:r>
      <w:hyperlink r:id="rId36">
        <w:r w:rsidDel="00000000" w:rsidR="00000000" w:rsidRPr="00000000">
          <w:rPr>
            <w:rFonts w:ascii="Google Sans" w:cs="Google Sans" w:eastAsia="Google Sans" w:hAnsi="Google Sans"/>
            <w:sz w:val="24"/>
            <w:szCs w:val="24"/>
            <w:rtl w:val="0"/>
          </w:rPr>
          <w:t xml:space="preserve"> </w:t>
        </w:r>
      </w:hyperlink>
      <w:hyperlink r:id="rId3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6">
      <w:pPr>
        <w:widowControl w:val="0"/>
        <w:numPr>
          <w:ilvl w:val="0"/>
          <w:numId w:val="7"/>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Overcoming Communication Gaps:</w:t>
      </w:r>
      <w:r w:rsidDel="00000000" w:rsidR="00000000" w:rsidRPr="00000000">
        <w:rPr>
          <w:rFonts w:ascii="Google Sans" w:cs="Google Sans" w:eastAsia="Google Sans" w:hAnsi="Google Sans"/>
          <w:sz w:val="24"/>
          <w:szCs w:val="24"/>
          <w:rtl w:val="0"/>
        </w:rPr>
        <w:t xml:space="preserve"> The platform must be designed with offline capabilities and low-bandwidth modes to function effectively even when traditional communication networks fail, a common constraint in major disasters. (Source:</w:t>
      </w:r>
      <w:hyperlink r:id="rId38">
        <w:r w:rsidDel="00000000" w:rsidR="00000000" w:rsidRPr="00000000">
          <w:rPr>
            <w:rFonts w:ascii="Google Sans" w:cs="Google Sans" w:eastAsia="Google Sans" w:hAnsi="Google Sans"/>
            <w:sz w:val="24"/>
            <w:szCs w:val="24"/>
            <w:rtl w:val="0"/>
          </w:rPr>
          <w:t xml:space="preserve"> </w:t>
        </w:r>
      </w:hyperlink>
      <w:hyperlink r:id="rId3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7">
      <w:pPr>
        <w:widowControl w:val="0"/>
        <w:numPr>
          <w:ilvl w:val="0"/>
          <w:numId w:val="7"/>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Streamlining Inter-Agency Coordination:</w:t>
      </w:r>
      <w:r w:rsidDel="00000000" w:rsidR="00000000" w:rsidRPr="00000000">
        <w:rPr>
          <w:rFonts w:ascii="Google Sans" w:cs="Google Sans" w:eastAsia="Google Sans" w:hAnsi="Google Sans"/>
          <w:sz w:val="24"/>
          <w:szCs w:val="24"/>
          <w:rtl w:val="0"/>
        </w:rPr>
        <w:t xml:space="preserve"> The platform's shared map and unified chat are designed to be the primary tool to overcome the operational challenge of coordinating multiple agencies, ensuring all stakeholders work from the same information. (Source:</w:t>
      </w:r>
      <w:hyperlink r:id="rId40">
        <w:r w:rsidDel="00000000" w:rsidR="00000000" w:rsidRPr="00000000">
          <w:rPr>
            <w:rFonts w:ascii="Google Sans" w:cs="Google Sans" w:eastAsia="Google Sans" w:hAnsi="Google Sans"/>
            <w:sz w:val="24"/>
            <w:szCs w:val="24"/>
            <w:rtl w:val="0"/>
          </w:rPr>
          <w:t xml:space="preserve"> </w:t>
        </w:r>
      </w:hyperlink>
      <w:hyperlink r:id="rId4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8">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tc9ubfbg6joj" w:id="5"/>
      <w:bookmarkEnd w:id="5"/>
      <w:r w:rsidDel="00000000" w:rsidR="00000000" w:rsidRPr="00000000">
        <w:rPr>
          <w:rFonts w:ascii="Google Sans" w:cs="Google Sans" w:eastAsia="Google Sans" w:hAnsi="Google Sans"/>
          <w:b w:val="1"/>
          <w:color w:val="000000"/>
          <w:sz w:val="22"/>
          <w:szCs w:val="22"/>
          <w:rtl w:val="0"/>
        </w:rPr>
        <w:t xml:space="preserve">Non-Functional Needs</w:t>
      </w:r>
    </w:p>
    <w:p w:rsidR="00000000" w:rsidDel="00000000" w:rsidP="00000000" w:rsidRDefault="00000000" w:rsidRPr="00000000" w14:paraId="00000019">
      <w:pPr>
        <w:widowControl w:val="0"/>
        <w:numPr>
          <w:ilvl w:val="0"/>
          <w:numId w:val="9"/>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Reliability:</w:t>
      </w:r>
      <w:r w:rsidDel="00000000" w:rsidR="00000000" w:rsidRPr="00000000">
        <w:rPr>
          <w:rFonts w:ascii="Google Sans" w:cs="Google Sans" w:eastAsia="Google Sans" w:hAnsi="Google Sans"/>
          <w:sz w:val="24"/>
          <w:szCs w:val="24"/>
          <w:rtl w:val="0"/>
        </w:rPr>
        <w:t xml:space="preserve"> The platform must be highly reliable, with built-in redundancy to ensure it remains functional even when normal communication infrastructure fails during a disaster. (Source:</w:t>
      </w:r>
      <w:hyperlink r:id="rId42">
        <w:r w:rsidDel="00000000" w:rsidR="00000000" w:rsidRPr="00000000">
          <w:rPr>
            <w:rFonts w:ascii="Google Sans" w:cs="Google Sans" w:eastAsia="Google Sans" w:hAnsi="Google Sans"/>
            <w:sz w:val="24"/>
            <w:szCs w:val="24"/>
            <w:rtl w:val="0"/>
          </w:rPr>
          <w:t xml:space="preserve"> </w:t>
        </w:r>
      </w:hyperlink>
      <w:hyperlink r:id="rId4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A">
      <w:pPr>
        <w:widowControl w:val="0"/>
        <w:numPr>
          <w:ilvl w:val="0"/>
          <w:numId w:val="9"/>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Interoperability:</w:t>
      </w:r>
      <w:r w:rsidDel="00000000" w:rsidR="00000000" w:rsidRPr="00000000">
        <w:rPr>
          <w:rFonts w:ascii="Google Sans" w:cs="Google Sans" w:eastAsia="Google Sans" w:hAnsi="Google Sans"/>
          <w:sz w:val="24"/>
          <w:szCs w:val="24"/>
          <w:rtl w:val="0"/>
        </w:rPr>
        <w:t xml:space="preserve"> The platform must be built with open APIs to ensure interoperability between the communication systems used by various response agencies like Police, NDRF, and Health services. (Source:</w:t>
      </w:r>
      <w:hyperlink r:id="rId44">
        <w:r w:rsidDel="00000000" w:rsidR="00000000" w:rsidRPr="00000000">
          <w:rPr>
            <w:rFonts w:ascii="Google Sans" w:cs="Google Sans" w:eastAsia="Google Sans" w:hAnsi="Google Sans"/>
            <w:sz w:val="24"/>
            <w:szCs w:val="24"/>
            <w:rtl w:val="0"/>
          </w:rPr>
          <w:t xml:space="preserve"> </w:t>
        </w:r>
      </w:hyperlink>
      <w:hyperlink r:id="rId4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B">
      <w:pPr>
        <w:widowControl w:val="0"/>
        <w:numPr>
          <w:ilvl w:val="0"/>
          <w:numId w:val="9"/>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High Availability:</w:t>
      </w:r>
      <w:r w:rsidDel="00000000" w:rsidR="00000000" w:rsidRPr="00000000">
        <w:rPr>
          <w:rFonts w:ascii="Google Sans" w:cs="Google Sans" w:eastAsia="Google Sans" w:hAnsi="Google Sans"/>
          <w:sz w:val="24"/>
          <w:szCs w:val="24"/>
          <w:rtl w:val="0"/>
        </w:rPr>
        <w:t xml:space="preserve"> As a critical system for managing response, the platform must have high availability (24x7) with minimal downtime, especially during a crisis. (Source:</w:t>
      </w:r>
      <w:hyperlink r:id="rId46">
        <w:r w:rsidDel="00000000" w:rsidR="00000000" w:rsidRPr="00000000">
          <w:rPr>
            <w:rFonts w:ascii="Google Sans" w:cs="Google Sans" w:eastAsia="Google Sans" w:hAnsi="Google Sans"/>
            <w:sz w:val="24"/>
            <w:szCs w:val="24"/>
            <w:rtl w:val="0"/>
          </w:rPr>
          <w:t xml:space="preserve"> </w:t>
        </w:r>
      </w:hyperlink>
      <w:hyperlink r:id="rId4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C">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sybx2u2lat80" w:id="6"/>
      <w:bookmarkEnd w:id="6"/>
      <w:r w:rsidDel="00000000" w:rsidR="00000000" w:rsidRPr="00000000">
        <w:rPr>
          <w:rFonts w:ascii="Google Sans" w:cs="Google Sans" w:eastAsia="Google Sans" w:hAnsi="Google Sans"/>
          <w:b w:val="1"/>
          <w:color w:val="000000"/>
          <w:sz w:val="22"/>
          <w:szCs w:val="22"/>
          <w:rtl w:val="0"/>
        </w:rPr>
        <w:t xml:space="preserve">Pain Points / Gaps</w:t>
      </w:r>
    </w:p>
    <w:p w:rsidR="00000000" w:rsidDel="00000000" w:rsidP="00000000" w:rsidRDefault="00000000" w:rsidRPr="00000000" w14:paraId="0000001D">
      <w:pPr>
        <w:widowControl w:val="0"/>
        <w:numPr>
          <w:ilvl w:val="0"/>
          <w:numId w:val="8"/>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Improving Last-Mile Connectivity:</w:t>
      </w:r>
      <w:r w:rsidDel="00000000" w:rsidR="00000000" w:rsidRPr="00000000">
        <w:rPr>
          <w:rFonts w:ascii="Google Sans" w:cs="Google Sans" w:eastAsia="Google Sans" w:hAnsi="Google Sans"/>
          <w:sz w:val="24"/>
          <w:szCs w:val="24"/>
          <w:rtl w:val="0"/>
        </w:rPr>
        <w:t xml:space="preserve"> The platform will address the last-mile connectivity gap by using a mobile-first approach for field teams and integrating with multiple communication channels (SMS, app notifications) to disseminate alerts. (Source:</w:t>
      </w:r>
      <w:hyperlink r:id="rId48">
        <w:r w:rsidDel="00000000" w:rsidR="00000000" w:rsidRPr="00000000">
          <w:rPr>
            <w:rFonts w:ascii="Google Sans" w:cs="Google Sans" w:eastAsia="Google Sans" w:hAnsi="Google Sans"/>
            <w:sz w:val="24"/>
            <w:szCs w:val="24"/>
            <w:rtl w:val="0"/>
          </w:rPr>
          <w:t xml:space="preserve"> </w:t>
        </w:r>
      </w:hyperlink>
      <w:hyperlink r:id="rId4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E">
      <w:pPr>
        <w:widowControl w:val="0"/>
        <w:numPr>
          <w:ilvl w:val="0"/>
          <w:numId w:val="8"/>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Enhancing Public Awareness:</w:t>
      </w:r>
      <w:r w:rsidDel="00000000" w:rsidR="00000000" w:rsidRPr="00000000">
        <w:rPr>
          <w:rFonts w:ascii="Google Sans" w:cs="Google Sans" w:eastAsia="Google Sans" w:hAnsi="Google Sans"/>
          <w:sz w:val="24"/>
          <w:szCs w:val="24"/>
          <w:rtl w:val="0"/>
        </w:rPr>
        <w:t xml:space="preserve"> The platform can be used to push targeted awareness campaigns and preparedness information to citizens based on their location and risk profile, addressing the lack of public awareness. (Source:</w:t>
      </w:r>
      <w:hyperlink r:id="rId50">
        <w:r w:rsidDel="00000000" w:rsidR="00000000" w:rsidRPr="00000000">
          <w:rPr>
            <w:rFonts w:ascii="Google Sans" w:cs="Google Sans" w:eastAsia="Google Sans" w:hAnsi="Google Sans"/>
            <w:sz w:val="24"/>
            <w:szCs w:val="24"/>
            <w:rtl w:val="0"/>
          </w:rPr>
          <w:t xml:space="preserve"> </w:t>
        </w:r>
      </w:hyperlink>
      <w:hyperlink r:id="rId5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1F">
      <w:pPr>
        <w:widowControl w:val="0"/>
        <w:numPr>
          <w:ilvl w:val="0"/>
          <w:numId w:val="8"/>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Supporting Community Participation:</w:t>
      </w:r>
      <w:r w:rsidDel="00000000" w:rsidR="00000000" w:rsidRPr="00000000">
        <w:rPr>
          <w:rFonts w:ascii="Google Sans" w:cs="Google Sans" w:eastAsia="Google Sans" w:hAnsi="Google Sans"/>
          <w:sz w:val="24"/>
          <w:szCs w:val="24"/>
          <w:rtl w:val="0"/>
        </w:rPr>
        <w:t xml:space="preserve"> The platform will include a module for registering and managing community volunteers, bridging the gap between top-down planning and community-level participation by allowing commanders to assign minor, localized tasks to verified volunteers. (Source:</w:t>
      </w:r>
      <w:hyperlink r:id="rId52">
        <w:r w:rsidDel="00000000" w:rsidR="00000000" w:rsidRPr="00000000">
          <w:rPr>
            <w:rFonts w:ascii="Google Sans" w:cs="Google Sans" w:eastAsia="Google Sans" w:hAnsi="Google Sans"/>
            <w:sz w:val="24"/>
            <w:szCs w:val="24"/>
            <w:rtl w:val="0"/>
          </w:rPr>
          <w:t xml:space="preserve"> </w:t>
        </w:r>
      </w:hyperlink>
      <w:hyperlink r:id="rId5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0">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3bf86nqgtcj3" w:id="7"/>
      <w:bookmarkEnd w:id="7"/>
      <w:r w:rsidDel="00000000" w:rsidR="00000000" w:rsidRPr="00000000">
        <w:rPr>
          <w:rFonts w:ascii="Google Sans" w:cs="Google Sans" w:eastAsia="Google Sans" w:hAnsi="Google Sans"/>
          <w:b w:val="1"/>
          <w:color w:val="000000"/>
          <w:sz w:val="22"/>
          <w:szCs w:val="22"/>
          <w:rtl w:val="0"/>
        </w:rPr>
        <w:t xml:space="preserve">Outputs &amp; Deliverables</w:t>
      </w:r>
    </w:p>
    <w:p w:rsidR="00000000" w:rsidDel="00000000" w:rsidP="00000000" w:rsidRDefault="00000000" w:rsidRPr="00000000" w14:paraId="00000021">
      <w:pPr>
        <w:widowControl w:val="0"/>
        <w:numPr>
          <w:ilvl w:val="0"/>
          <w:numId w:val="2"/>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Dynamic Situation Reports (SitReps):</w:t>
      </w:r>
      <w:r w:rsidDel="00000000" w:rsidR="00000000" w:rsidRPr="00000000">
        <w:rPr>
          <w:rFonts w:ascii="Google Sans" w:cs="Google Sans" w:eastAsia="Google Sans" w:hAnsi="Google Sans"/>
          <w:sz w:val="24"/>
          <w:szCs w:val="24"/>
          <w:rtl w:val="0"/>
        </w:rPr>
        <w:t xml:space="preserve"> The platform will automatically generate standardized SitReps at regular intervals, providing updates on the situation and response actions, reducing manual reporting effort. (Source:</w:t>
      </w:r>
      <w:hyperlink r:id="rId54">
        <w:r w:rsidDel="00000000" w:rsidR="00000000" w:rsidRPr="00000000">
          <w:rPr>
            <w:rFonts w:ascii="Google Sans" w:cs="Google Sans" w:eastAsia="Google Sans" w:hAnsi="Google Sans"/>
            <w:sz w:val="24"/>
            <w:szCs w:val="24"/>
            <w:rtl w:val="0"/>
          </w:rPr>
          <w:t xml:space="preserve"> </w:t>
        </w:r>
      </w:hyperlink>
      <w:hyperlink r:id="rId5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2">
      <w:pPr>
        <w:widowControl w:val="0"/>
        <w:numPr>
          <w:ilvl w:val="0"/>
          <w:numId w:val="2"/>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Actionable Early Warning Alerts:</w:t>
      </w:r>
      <w:r w:rsidDel="00000000" w:rsidR="00000000" w:rsidRPr="00000000">
        <w:rPr>
          <w:rFonts w:ascii="Google Sans" w:cs="Google Sans" w:eastAsia="Google Sans" w:hAnsi="Google Sans"/>
          <w:sz w:val="24"/>
          <w:szCs w:val="24"/>
          <w:rtl w:val="0"/>
        </w:rPr>
        <w:t xml:space="preserve"> The platform will process and disseminate early warnings from technical agencies into clear, actionable alerts for both the public and response agencies. (Source:</w:t>
      </w:r>
      <w:hyperlink r:id="rId56">
        <w:r w:rsidDel="00000000" w:rsidR="00000000" w:rsidRPr="00000000">
          <w:rPr>
            <w:rFonts w:ascii="Google Sans" w:cs="Google Sans" w:eastAsia="Google Sans" w:hAnsi="Google Sans"/>
            <w:sz w:val="24"/>
            <w:szCs w:val="24"/>
            <w:rtl w:val="0"/>
          </w:rPr>
          <w:t xml:space="preserve"> </w:t>
        </w:r>
      </w:hyperlink>
      <w:hyperlink r:id="rId57">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3">
      <w:pPr>
        <w:widowControl w:val="0"/>
        <w:numPr>
          <w:ilvl w:val="0"/>
          <w:numId w:val="2"/>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Relief Management Dashboards:</w:t>
      </w:r>
      <w:r w:rsidDel="00000000" w:rsidR="00000000" w:rsidRPr="00000000">
        <w:rPr>
          <w:rFonts w:ascii="Google Sans" w:cs="Google Sans" w:eastAsia="Google Sans" w:hAnsi="Google Sans"/>
          <w:sz w:val="24"/>
          <w:szCs w:val="24"/>
          <w:rtl w:val="0"/>
        </w:rPr>
        <w:t xml:space="preserve"> The platform will provide dashboards to track the status of relief camps and the distribution of supplies, ensuring efficient and transparent relief management. (Source:</w:t>
      </w:r>
      <w:hyperlink r:id="rId58">
        <w:r w:rsidDel="00000000" w:rsidR="00000000" w:rsidRPr="00000000">
          <w:rPr>
            <w:rFonts w:ascii="Google Sans" w:cs="Google Sans" w:eastAsia="Google Sans" w:hAnsi="Google Sans"/>
            <w:sz w:val="24"/>
            <w:szCs w:val="24"/>
            <w:rtl w:val="0"/>
          </w:rPr>
          <w:t xml:space="preserve"> </w:t>
        </w:r>
      </w:hyperlink>
      <w:hyperlink r:id="rId59">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4">
      <w:pPr>
        <w:pStyle w:val="Heading4"/>
        <w:keepNext w:val="0"/>
        <w:keepLines w:val="0"/>
        <w:widowControl w:val="0"/>
        <w:spacing w:after="40" w:before="240" w:line="240" w:lineRule="auto"/>
        <w:rPr>
          <w:rFonts w:ascii="Google Sans" w:cs="Google Sans" w:eastAsia="Google Sans" w:hAnsi="Google Sans"/>
          <w:b w:val="1"/>
          <w:color w:val="000000"/>
          <w:sz w:val="22"/>
          <w:szCs w:val="22"/>
        </w:rPr>
      </w:pPr>
      <w:bookmarkStart w:colFirst="0" w:colLast="0" w:name="_czc9knq0ulf3" w:id="8"/>
      <w:bookmarkEnd w:id="8"/>
      <w:r w:rsidDel="00000000" w:rsidR="00000000" w:rsidRPr="00000000">
        <w:rPr>
          <w:rFonts w:ascii="Google Sans" w:cs="Google Sans" w:eastAsia="Google Sans" w:hAnsi="Google Sans"/>
          <w:b w:val="1"/>
          <w:color w:val="000000"/>
          <w:sz w:val="22"/>
          <w:szCs w:val="22"/>
          <w:rtl w:val="0"/>
        </w:rPr>
        <w:t xml:space="preserve">Compliance &amp; Accountability</w:t>
      </w:r>
    </w:p>
    <w:p w:rsidR="00000000" w:rsidDel="00000000" w:rsidP="00000000" w:rsidRDefault="00000000" w:rsidRPr="00000000" w14:paraId="00000025">
      <w:pPr>
        <w:widowControl w:val="0"/>
        <w:numPr>
          <w:ilvl w:val="0"/>
          <w:numId w:val="1"/>
        </w:numPr>
        <w:spacing w:after="0" w:afterAutospacing="0" w:before="24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rtl w:val="0"/>
        </w:rPr>
        <w:t xml:space="preserve">Enforcing the DM Act, 2005:</w:t>
      </w:r>
      <w:r w:rsidDel="00000000" w:rsidR="00000000" w:rsidRPr="00000000">
        <w:rPr>
          <w:rFonts w:ascii="Google Sans" w:cs="Google Sans" w:eastAsia="Google Sans" w:hAnsi="Google Sans"/>
          <w:sz w:val="24"/>
          <w:szCs w:val="24"/>
          <w:rtl w:val="0"/>
        </w:rPr>
        <w:t xml:space="preserve"> The platform's workflows will be designed to enforce compliance with the DM Act, providing a digital trail that demonstrates adherence to legal procedures and penalties for obstruction. (Source:</w:t>
      </w:r>
      <w:hyperlink r:id="rId60">
        <w:r w:rsidDel="00000000" w:rsidR="00000000" w:rsidRPr="00000000">
          <w:rPr>
            <w:rFonts w:ascii="Google Sans" w:cs="Google Sans" w:eastAsia="Google Sans" w:hAnsi="Google Sans"/>
            <w:sz w:val="24"/>
            <w:szCs w:val="24"/>
            <w:rtl w:val="0"/>
          </w:rPr>
          <w:t xml:space="preserve"> </w:t>
        </w:r>
      </w:hyperlink>
      <w:hyperlink r:id="rId61">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6">
      <w:pPr>
        <w:widowControl w:val="0"/>
        <w:numPr>
          <w:ilvl w:val="0"/>
          <w:numId w:val="1"/>
        </w:numPr>
        <w:spacing w:after="0" w:afterAutospacing="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Supporting CAG Audits:</w:t>
      </w:r>
      <w:r w:rsidDel="00000000" w:rsidR="00000000" w:rsidRPr="00000000">
        <w:rPr>
          <w:rFonts w:ascii="Google Sans" w:cs="Google Sans" w:eastAsia="Google Sans" w:hAnsi="Google Sans"/>
          <w:sz w:val="24"/>
          <w:szCs w:val="24"/>
          <w:rtl w:val="0"/>
        </w:rPr>
        <w:t xml:space="preserve"> The platform's comprehensive and immutable logs will provide all necessary data for performance audits by the Comptroller and Auditor General (CAG), ensuring full accountability for fund utilization and operational effectiveness. (Source:</w:t>
      </w:r>
      <w:hyperlink r:id="rId62">
        <w:r w:rsidDel="00000000" w:rsidR="00000000" w:rsidRPr="00000000">
          <w:rPr>
            <w:rFonts w:ascii="Google Sans" w:cs="Google Sans" w:eastAsia="Google Sans" w:hAnsi="Google Sans"/>
            <w:sz w:val="24"/>
            <w:szCs w:val="24"/>
            <w:rtl w:val="0"/>
          </w:rPr>
          <w:t xml:space="preserve"> </w:t>
        </w:r>
      </w:hyperlink>
      <w:hyperlink r:id="rId63">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7">
      <w:pPr>
        <w:widowControl w:val="0"/>
        <w:numPr>
          <w:ilvl w:val="0"/>
          <w:numId w:val="1"/>
        </w:numPr>
        <w:spacing w:after="240" w:before="0" w:beforeAutospacing="0"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Digital Mock Drill Module:</w:t>
      </w:r>
      <w:r w:rsidDel="00000000" w:rsidR="00000000" w:rsidRPr="00000000">
        <w:rPr>
          <w:rFonts w:ascii="Google Sans" w:cs="Google Sans" w:eastAsia="Google Sans" w:hAnsi="Google Sans"/>
          <w:sz w:val="24"/>
          <w:szCs w:val="24"/>
          <w:rtl w:val="0"/>
        </w:rPr>
        <w:t xml:space="preserve"> The platform will include a simulation mode for conducting digital mock drills, allowing agencies to test SOPs and ensure compliance in a controlled environment, with all results logged for analysis. (Source:</w:t>
      </w:r>
      <w:hyperlink r:id="rId64">
        <w:r w:rsidDel="00000000" w:rsidR="00000000" w:rsidRPr="00000000">
          <w:rPr>
            <w:rFonts w:ascii="Google Sans" w:cs="Google Sans" w:eastAsia="Google Sans" w:hAnsi="Google Sans"/>
            <w:sz w:val="24"/>
            <w:szCs w:val="24"/>
            <w:rtl w:val="0"/>
          </w:rPr>
          <w:t xml:space="preserve"> </w:t>
        </w:r>
      </w:hyperlink>
      <w:hyperlink r:id="rId65">
        <w:r w:rsidDel="00000000" w:rsidR="00000000" w:rsidRPr="00000000">
          <w:rPr>
            <w:rFonts w:ascii="Google Sans" w:cs="Google Sans" w:eastAsia="Google Sans" w:hAnsi="Google Sans"/>
            <w:color w:val="1155cc"/>
            <w:sz w:val="24"/>
            <w:szCs w:val="24"/>
            <w:u w:val="single"/>
            <w:rtl w:val="0"/>
          </w:rPr>
          <w:t xml:space="preserve">https://www.ndma.gov.in/images/pdf/sop-for-emergency-response.pdf</w:t>
        </w:r>
      </w:hyperlink>
      <w:r w:rsidDel="00000000" w:rsidR="00000000" w:rsidRPr="00000000">
        <w:rPr>
          <w:rFonts w:ascii="Google Sans" w:cs="Google Sans" w:eastAsia="Google Sans" w:hAnsi="Google Sans"/>
          <w:sz w:val="24"/>
          <w:szCs w:val="24"/>
          <w:rtl w:val="0"/>
        </w:rPr>
        <w:t xml:space="preserve">)</w:t>
      </w:r>
    </w:p>
    <w:p w:rsidR="00000000" w:rsidDel="00000000" w:rsidP="00000000" w:rsidRDefault="00000000" w:rsidRPr="00000000" w14:paraId="0000002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ndma.gov.in/images/pdf/sop-for-emergency-response.pdf" TargetMode="External"/><Relationship Id="rId42" Type="http://schemas.openxmlformats.org/officeDocument/2006/relationships/hyperlink" Target="https://www.ndma.gov.in/images/pdf/sop-for-emergency-response.pdf" TargetMode="External"/><Relationship Id="rId41" Type="http://schemas.openxmlformats.org/officeDocument/2006/relationships/hyperlink" Target="https://www.ndma.gov.in/images/pdf/sop-for-emergency-response.pdf" TargetMode="External"/><Relationship Id="rId44" Type="http://schemas.openxmlformats.org/officeDocument/2006/relationships/hyperlink" Target="https://www.ndma.gov.in/images/pdf/sop-for-emergency-response.pdf" TargetMode="External"/><Relationship Id="rId43" Type="http://schemas.openxmlformats.org/officeDocument/2006/relationships/hyperlink" Target="https://www.ndma.gov.in/images/pdf/sop-for-emergency-response.pdf" TargetMode="External"/><Relationship Id="rId46" Type="http://schemas.openxmlformats.org/officeDocument/2006/relationships/hyperlink" Target="https://www.ndma.gov.in/images/pdf/sop-for-emergency-response.pdf" TargetMode="External"/><Relationship Id="rId45" Type="http://schemas.openxmlformats.org/officeDocument/2006/relationships/hyperlink" Target="https://www.ndma.gov.in/images/pdf/sop-for-emergency-respons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dma.gov.in/images/pdf/sop-for-emergency-response.pdf" TargetMode="External"/><Relationship Id="rId48" Type="http://schemas.openxmlformats.org/officeDocument/2006/relationships/hyperlink" Target="https://www.ndma.gov.in/images/pdf/sop-for-emergency-response.pdf" TargetMode="External"/><Relationship Id="rId47" Type="http://schemas.openxmlformats.org/officeDocument/2006/relationships/hyperlink" Target="https://www.ndma.gov.in/images/pdf/sop-for-emergency-response.pdf" TargetMode="External"/><Relationship Id="rId49" Type="http://schemas.openxmlformats.org/officeDocument/2006/relationships/hyperlink" Target="https://www.ndma.gov.in/images/pdf/sop-for-emergency-response.pdf" TargetMode="External"/><Relationship Id="rId5" Type="http://schemas.openxmlformats.org/officeDocument/2006/relationships/styles" Target="styles.xml"/><Relationship Id="rId6" Type="http://schemas.openxmlformats.org/officeDocument/2006/relationships/hyperlink" Target="https://www.ndma.gov.in/images/pdf/sop-for-emergency-response.pdf" TargetMode="External"/><Relationship Id="rId7" Type="http://schemas.openxmlformats.org/officeDocument/2006/relationships/hyperlink" Target="https://www.ndma.gov.in/images/pdf/sop-for-emergency-response.pdf" TargetMode="External"/><Relationship Id="rId8" Type="http://schemas.openxmlformats.org/officeDocument/2006/relationships/hyperlink" Target="https://www.ndma.gov.in/images/pdf/sop-for-emergency-response.pdf" TargetMode="External"/><Relationship Id="rId31" Type="http://schemas.openxmlformats.org/officeDocument/2006/relationships/hyperlink" Target="https://www.ndma.gov.in/images/pdf/sop-for-emergency-response.pdf" TargetMode="External"/><Relationship Id="rId30" Type="http://schemas.openxmlformats.org/officeDocument/2006/relationships/hyperlink" Target="https://www.ndma.gov.in/images/pdf/sop-for-emergency-response.pdf" TargetMode="External"/><Relationship Id="rId33" Type="http://schemas.openxmlformats.org/officeDocument/2006/relationships/hyperlink" Target="https://www.ndma.gov.in/images/pdf/sop-for-emergency-response.pdf" TargetMode="External"/><Relationship Id="rId32" Type="http://schemas.openxmlformats.org/officeDocument/2006/relationships/hyperlink" Target="https://www.ndma.gov.in/images/pdf/sop-for-emergency-response.pdf" TargetMode="External"/><Relationship Id="rId35" Type="http://schemas.openxmlformats.org/officeDocument/2006/relationships/hyperlink" Target="https://www.ndma.gov.in/images/pdf/sop-for-emergency-response.pdf" TargetMode="External"/><Relationship Id="rId34" Type="http://schemas.openxmlformats.org/officeDocument/2006/relationships/hyperlink" Target="https://www.ndma.gov.in/images/pdf/sop-for-emergency-response.pdf" TargetMode="External"/><Relationship Id="rId37" Type="http://schemas.openxmlformats.org/officeDocument/2006/relationships/hyperlink" Target="https://www.ndma.gov.in/images/pdf/sop-for-emergency-response.pdf" TargetMode="External"/><Relationship Id="rId36" Type="http://schemas.openxmlformats.org/officeDocument/2006/relationships/hyperlink" Target="https://www.ndma.gov.in/images/pdf/sop-for-emergency-response.pdf" TargetMode="External"/><Relationship Id="rId39" Type="http://schemas.openxmlformats.org/officeDocument/2006/relationships/hyperlink" Target="https://www.ndma.gov.in/images/pdf/sop-for-emergency-response.pdf" TargetMode="External"/><Relationship Id="rId38" Type="http://schemas.openxmlformats.org/officeDocument/2006/relationships/hyperlink" Target="https://www.ndma.gov.in/images/pdf/sop-for-emergency-response.pdf" TargetMode="External"/><Relationship Id="rId62" Type="http://schemas.openxmlformats.org/officeDocument/2006/relationships/hyperlink" Target="https://www.ndma.gov.in/images/pdf/sop-for-emergency-response.pdf" TargetMode="External"/><Relationship Id="rId61" Type="http://schemas.openxmlformats.org/officeDocument/2006/relationships/hyperlink" Target="https://www.ndma.gov.in/images/pdf/sop-for-emergency-response.pdf" TargetMode="External"/><Relationship Id="rId20" Type="http://schemas.openxmlformats.org/officeDocument/2006/relationships/hyperlink" Target="https://www.ndma.gov.in/images/pdf/sop-for-emergency-response.pdf" TargetMode="External"/><Relationship Id="rId64" Type="http://schemas.openxmlformats.org/officeDocument/2006/relationships/hyperlink" Target="https://www.ndma.gov.in/images/pdf/sop-for-emergency-response.pdf" TargetMode="External"/><Relationship Id="rId63" Type="http://schemas.openxmlformats.org/officeDocument/2006/relationships/hyperlink" Target="https://www.ndma.gov.in/images/pdf/sop-for-emergency-response.pdf" TargetMode="External"/><Relationship Id="rId22" Type="http://schemas.openxmlformats.org/officeDocument/2006/relationships/hyperlink" Target="https://www.ndma.gov.in/images/pdf/sop-for-emergency-response.pdf" TargetMode="External"/><Relationship Id="rId21" Type="http://schemas.openxmlformats.org/officeDocument/2006/relationships/hyperlink" Target="https://www.ndma.gov.in/images/pdf/sop-for-emergency-response.pdf" TargetMode="External"/><Relationship Id="rId65" Type="http://schemas.openxmlformats.org/officeDocument/2006/relationships/hyperlink" Target="https://www.ndma.gov.in/images/pdf/sop-for-emergency-response.pdf" TargetMode="External"/><Relationship Id="rId24" Type="http://schemas.openxmlformats.org/officeDocument/2006/relationships/hyperlink" Target="https://www.ndma.gov.in/images/pdf/sop-for-emergency-response.pdf" TargetMode="External"/><Relationship Id="rId23" Type="http://schemas.openxmlformats.org/officeDocument/2006/relationships/hyperlink" Target="https://www.ndma.gov.in/images/pdf/sop-for-emergency-response.pdf" TargetMode="External"/><Relationship Id="rId60" Type="http://schemas.openxmlformats.org/officeDocument/2006/relationships/hyperlink" Target="https://www.ndma.gov.in/images/pdf/sop-for-emergency-response.pdf" TargetMode="External"/><Relationship Id="rId26" Type="http://schemas.openxmlformats.org/officeDocument/2006/relationships/hyperlink" Target="https://www.ndma.gov.in/images/pdf/sop-for-emergency-response.pdf" TargetMode="External"/><Relationship Id="rId25" Type="http://schemas.openxmlformats.org/officeDocument/2006/relationships/hyperlink" Target="https://www.ndma.gov.in/images/pdf/sop-for-emergency-response.pdf" TargetMode="External"/><Relationship Id="rId28" Type="http://schemas.openxmlformats.org/officeDocument/2006/relationships/hyperlink" Target="https://www.ndma.gov.in/images/pdf/sop-for-emergency-response.pdf" TargetMode="External"/><Relationship Id="rId27" Type="http://schemas.openxmlformats.org/officeDocument/2006/relationships/hyperlink" Target="https://www.ndma.gov.in/images/pdf/sop-for-emergency-response.pdf" TargetMode="External"/><Relationship Id="rId29" Type="http://schemas.openxmlformats.org/officeDocument/2006/relationships/hyperlink" Target="https://www.ndma.gov.in/images/pdf/sop-for-emergency-response.pdf" TargetMode="External"/><Relationship Id="rId51" Type="http://schemas.openxmlformats.org/officeDocument/2006/relationships/hyperlink" Target="https://www.ndma.gov.in/images/pdf/sop-for-emergency-response.pdf" TargetMode="External"/><Relationship Id="rId50" Type="http://schemas.openxmlformats.org/officeDocument/2006/relationships/hyperlink" Target="https://www.ndma.gov.in/images/pdf/sop-for-emergency-response.pdf" TargetMode="External"/><Relationship Id="rId53" Type="http://schemas.openxmlformats.org/officeDocument/2006/relationships/hyperlink" Target="https://www.ndma.gov.in/images/pdf/sop-for-emergency-response.pdf" TargetMode="External"/><Relationship Id="rId52" Type="http://schemas.openxmlformats.org/officeDocument/2006/relationships/hyperlink" Target="https://www.ndma.gov.in/images/pdf/sop-for-emergency-response.pdf" TargetMode="External"/><Relationship Id="rId11" Type="http://schemas.openxmlformats.org/officeDocument/2006/relationships/hyperlink" Target="https://www.ndma.gov.in/images/pdf/sop-for-emergency-response.pdf" TargetMode="External"/><Relationship Id="rId55" Type="http://schemas.openxmlformats.org/officeDocument/2006/relationships/hyperlink" Target="https://www.ndma.gov.in/images/pdf/sop-for-emergency-response.pdf" TargetMode="External"/><Relationship Id="rId10" Type="http://schemas.openxmlformats.org/officeDocument/2006/relationships/hyperlink" Target="https://www.ndma.gov.in/images/pdf/sop-for-emergency-response.pdf" TargetMode="External"/><Relationship Id="rId54" Type="http://schemas.openxmlformats.org/officeDocument/2006/relationships/hyperlink" Target="https://www.ndma.gov.in/images/pdf/sop-for-emergency-response.pdf" TargetMode="External"/><Relationship Id="rId13" Type="http://schemas.openxmlformats.org/officeDocument/2006/relationships/hyperlink" Target="https://www.ndma.gov.in/images/pdf/sop-for-emergency-response.pdf" TargetMode="External"/><Relationship Id="rId57" Type="http://schemas.openxmlformats.org/officeDocument/2006/relationships/hyperlink" Target="https://www.ndma.gov.in/images/pdf/sop-for-emergency-response.pdf" TargetMode="External"/><Relationship Id="rId12" Type="http://schemas.openxmlformats.org/officeDocument/2006/relationships/hyperlink" Target="https://www.ndma.gov.in/images/pdf/sop-for-emergency-response.pdf" TargetMode="External"/><Relationship Id="rId56" Type="http://schemas.openxmlformats.org/officeDocument/2006/relationships/hyperlink" Target="https://www.ndma.gov.in/images/pdf/sop-for-emergency-response.pdf" TargetMode="External"/><Relationship Id="rId15" Type="http://schemas.openxmlformats.org/officeDocument/2006/relationships/hyperlink" Target="https://www.ndma.gov.in/images/pdf/sop-for-emergency-response.pdf" TargetMode="External"/><Relationship Id="rId59" Type="http://schemas.openxmlformats.org/officeDocument/2006/relationships/hyperlink" Target="https://www.ndma.gov.in/images/pdf/sop-for-emergency-response.pdf" TargetMode="External"/><Relationship Id="rId14" Type="http://schemas.openxmlformats.org/officeDocument/2006/relationships/hyperlink" Target="https://www.ndma.gov.in/images/pdf/sop-for-emergency-response.pdf" TargetMode="External"/><Relationship Id="rId58" Type="http://schemas.openxmlformats.org/officeDocument/2006/relationships/hyperlink" Target="https://www.ndma.gov.in/images/pdf/sop-for-emergency-response.pdf" TargetMode="External"/><Relationship Id="rId17" Type="http://schemas.openxmlformats.org/officeDocument/2006/relationships/hyperlink" Target="https://www.ndma.gov.in/images/pdf/sop-for-emergency-response.pdf" TargetMode="External"/><Relationship Id="rId16" Type="http://schemas.openxmlformats.org/officeDocument/2006/relationships/hyperlink" Target="https://www.ndma.gov.in/images/pdf/sop-for-emergency-response.pdf" TargetMode="External"/><Relationship Id="rId19" Type="http://schemas.openxmlformats.org/officeDocument/2006/relationships/hyperlink" Target="https://www.ndma.gov.in/images/pdf/sop-for-emergency-response.pdf" TargetMode="External"/><Relationship Id="rId18" Type="http://schemas.openxmlformats.org/officeDocument/2006/relationships/hyperlink" Target="https://www.ndma.gov.in/images/pdf/sop-for-emergency-response.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