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0AD1FE" w14:textId="77777777" w:rsidR="00D41FB8" w:rsidRDefault="00000000">
      <w:pPr>
        <w:rPr>
          <w:sz w:val="44"/>
          <w:szCs w:val="44"/>
        </w:rPr>
      </w:pPr>
      <w:r>
        <w:rPr>
          <w:rFonts w:hint="eastAsia"/>
          <w:sz w:val="44"/>
          <w:szCs w:val="44"/>
        </w:rPr>
        <w:t>CS422 Data Mining Homework_1 Report</w:t>
      </w:r>
    </w:p>
    <w:tbl>
      <w:tblPr>
        <w:tblStyle w:val="TableNormal"/>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38"/>
        <w:gridCol w:w="2339"/>
        <w:gridCol w:w="2339"/>
        <w:gridCol w:w="2339"/>
      </w:tblGrid>
      <w:tr w:rsidR="00210BE9" w14:paraId="53AEE8F5" w14:textId="77777777" w:rsidTr="00421D54">
        <w:trPr>
          <w:trHeight w:val="275"/>
        </w:trPr>
        <w:tc>
          <w:tcPr>
            <w:tcW w:w="9355" w:type="dxa"/>
            <w:gridSpan w:val="4"/>
          </w:tcPr>
          <w:p w14:paraId="1943A8C9" w14:textId="77777777" w:rsidR="00210BE9" w:rsidRDefault="00210BE9" w:rsidP="00421D54">
            <w:pPr>
              <w:pStyle w:val="TableParagraph"/>
              <w:ind w:left="5"/>
              <w:rPr>
                <w:b/>
                <w:sz w:val="24"/>
              </w:rPr>
            </w:pPr>
            <w:r>
              <w:rPr>
                <w:b/>
                <w:sz w:val="24"/>
              </w:rPr>
              <w:t>Individual</w:t>
            </w:r>
            <w:r>
              <w:rPr>
                <w:b/>
                <w:spacing w:val="-6"/>
                <w:sz w:val="24"/>
              </w:rPr>
              <w:t xml:space="preserve"> </w:t>
            </w:r>
            <w:r>
              <w:rPr>
                <w:b/>
                <w:spacing w:val="-2"/>
                <w:sz w:val="24"/>
              </w:rPr>
              <w:t>Contribution</w:t>
            </w:r>
          </w:p>
        </w:tc>
      </w:tr>
      <w:tr w:rsidR="00210BE9" w14:paraId="71A8C54D" w14:textId="77777777" w:rsidTr="00421D54">
        <w:trPr>
          <w:trHeight w:val="554"/>
        </w:trPr>
        <w:tc>
          <w:tcPr>
            <w:tcW w:w="2338" w:type="dxa"/>
          </w:tcPr>
          <w:p w14:paraId="782BD2D8" w14:textId="77777777" w:rsidR="00210BE9" w:rsidRDefault="00210BE9" w:rsidP="00421D54">
            <w:pPr>
              <w:pStyle w:val="TableParagraph"/>
              <w:spacing w:before="2" w:line="240" w:lineRule="auto"/>
              <w:ind w:left="9" w:right="5"/>
              <w:rPr>
                <w:b/>
                <w:sz w:val="24"/>
              </w:rPr>
            </w:pPr>
            <w:r>
              <w:rPr>
                <w:b/>
                <w:spacing w:val="-4"/>
                <w:sz w:val="24"/>
              </w:rPr>
              <w:t>CWID</w:t>
            </w:r>
          </w:p>
        </w:tc>
        <w:tc>
          <w:tcPr>
            <w:tcW w:w="2339" w:type="dxa"/>
          </w:tcPr>
          <w:p w14:paraId="4444B27D" w14:textId="77777777" w:rsidR="00210BE9" w:rsidRDefault="00210BE9" w:rsidP="00421D54">
            <w:pPr>
              <w:pStyle w:val="TableParagraph"/>
              <w:spacing w:before="2" w:line="240" w:lineRule="auto"/>
              <w:ind w:right="24"/>
              <w:rPr>
                <w:b/>
                <w:sz w:val="24"/>
              </w:rPr>
            </w:pPr>
            <w:r>
              <w:rPr>
                <w:b/>
                <w:spacing w:val="-4"/>
                <w:sz w:val="24"/>
              </w:rPr>
              <w:t>Name</w:t>
            </w:r>
          </w:p>
        </w:tc>
        <w:tc>
          <w:tcPr>
            <w:tcW w:w="2339" w:type="dxa"/>
          </w:tcPr>
          <w:p w14:paraId="1A802F5E" w14:textId="77777777" w:rsidR="00210BE9" w:rsidRDefault="00210BE9" w:rsidP="00421D54">
            <w:pPr>
              <w:pStyle w:val="TableParagraph"/>
              <w:spacing w:line="270" w:lineRule="atLeast"/>
              <w:ind w:left="440" w:firstLine="7"/>
              <w:jc w:val="left"/>
              <w:rPr>
                <w:b/>
                <w:sz w:val="24"/>
              </w:rPr>
            </w:pPr>
            <w:r>
              <w:rPr>
                <w:b/>
                <w:spacing w:val="-2"/>
                <w:sz w:val="24"/>
              </w:rPr>
              <w:t>Contribution (description)</w:t>
            </w:r>
          </w:p>
        </w:tc>
        <w:tc>
          <w:tcPr>
            <w:tcW w:w="2339" w:type="dxa"/>
          </w:tcPr>
          <w:p w14:paraId="42A5E757" w14:textId="77777777" w:rsidR="00210BE9" w:rsidRDefault="00210BE9" w:rsidP="00421D54">
            <w:pPr>
              <w:pStyle w:val="TableParagraph"/>
              <w:spacing w:line="270" w:lineRule="atLeast"/>
              <w:ind w:left="446" w:right="442" w:firstLine="278"/>
              <w:jc w:val="left"/>
              <w:rPr>
                <w:b/>
                <w:sz w:val="24"/>
              </w:rPr>
            </w:pPr>
            <w:r>
              <w:rPr>
                <w:b/>
                <w:spacing w:val="-2"/>
                <w:sz w:val="24"/>
              </w:rPr>
              <w:t>Percent Contribution</w:t>
            </w:r>
          </w:p>
        </w:tc>
      </w:tr>
      <w:tr w:rsidR="00210BE9" w14:paraId="00A6B983" w14:textId="77777777" w:rsidTr="00421D54">
        <w:trPr>
          <w:trHeight w:val="780"/>
        </w:trPr>
        <w:tc>
          <w:tcPr>
            <w:tcW w:w="2338" w:type="dxa"/>
          </w:tcPr>
          <w:p w14:paraId="72A60CDC" w14:textId="77777777" w:rsidR="00210BE9" w:rsidRPr="00702D49" w:rsidRDefault="00210BE9" w:rsidP="00421D54">
            <w:pPr>
              <w:pStyle w:val="TableParagraph"/>
              <w:ind w:left="9"/>
              <w:rPr>
                <w:b/>
                <w:color w:val="4471C4"/>
                <w:spacing w:val="-2"/>
                <w:sz w:val="24"/>
              </w:rPr>
            </w:pPr>
            <w:r w:rsidRPr="00702D49">
              <w:rPr>
                <w:b/>
                <w:color w:val="4471C4"/>
                <w:spacing w:val="-2"/>
                <w:sz w:val="24"/>
              </w:rPr>
              <w:t>A20564206</w:t>
            </w:r>
          </w:p>
          <w:p w14:paraId="674857B8" w14:textId="77777777" w:rsidR="00210BE9" w:rsidRPr="00702D49" w:rsidRDefault="00210BE9" w:rsidP="00421D54">
            <w:pPr>
              <w:pStyle w:val="TableParagraph"/>
              <w:ind w:left="9"/>
              <w:rPr>
                <w:b/>
                <w:color w:val="4471C4"/>
                <w:spacing w:val="-2"/>
                <w:sz w:val="24"/>
              </w:rPr>
            </w:pPr>
          </w:p>
        </w:tc>
        <w:tc>
          <w:tcPr>
            <w:tcW w:w="2339" w:type="dxa"/>
          </w:tcPr>
          <w:p w14:paraId="5D5A1B2A" w14:textId="77777777" w:rsidR="00210BE9" w:rsidRPr="00702D49" w:rsidRDefault="00210BE9" w:rsidP="00421D54">
            <w:pPr>
              <w:pStyle w:val="TableParagraph"/>
              <w:ind w:right="23"/>
              <w:rPr>
                <w:rFonts w:eastAsiaTheme="minorEastAsia"/>
                <w:b/>
                <w:sz w:val="24"/>
                <w:lang w:eastAsia="zh-CN"/>
              </w:rPr>
            </w:pPr>
            <w:proofErr w:type="spellStart"/>
            <w:r>
              <w:rPr>
                <w:rFonts w:eastAsiaTheme="minorEastAsia" w:hint="eastAsia"/>
                <w:b/>
                <w:color w:val="4471C4"/>
                <w:sz w:val="24"/>
                <w:lang w:eastAsia="zh-CN"/>
              </w:rPr>
              <w:t>Hanjun</w:t>
            </w:r>
            <w:proofErr w:type="spellEnd"/>
            <w:r>
              <w:rPr>
                <w:rFonts w:eastAsiaTheme="minorEastAsia" w:hint="eastAsia"/>
                <w:b/>
                <w:color w:val="4471C4"/>
                <w:sz w:val="24"/>
                <w:lang w:eastAsia="zh-CN"/>
              </w:rPr>
              <w:t xml:space="preserve"> Tang</w:t>
            </w:r>
          </w:p>
        </w:tc>
        <w:tc>
          <w:tcPr>
            <w:tcW w:w="2339" w:type="dxa"/>
          </w:tcPr>
          <w:p w14:paraId="64D0F49F" w14:textId="77777777" w:rsidR="00210BE9" w:rsidRDefault="00210BE9" w:rsidP="00421D54">
            <w:pPr>
              <w:pStyle w:val="TableParagraph"/>
              <w:ind w:right="27"/>
              <w:rPr>
                <w:rFonts w:eastAsiaTheme="minorEastAsia"/>
                <w:sz w:val="24"/>
                <w:szCs w:val="24"/>
                <w:lang w:eastAsia="zh-CN"/>
              </w:rPr>
            </w:pPr>
            <w:r w:rsidRPr="00702D49">
              <w:rPr>
                <w:sz w:val="21"/>
                <w:szCs w:val="21"/>
                <w:lang w:eastAsia="zh-CN"/>
              </w:rPr>
              <w:t>Pie Chart</w:t>
            </w:r>
            <w:r>
              <w:rPr>
                <w:rFonts w:eastAsiaTheme="minorEastAsia" w:hint="eastAsia"/>
                <w:sz w:val="24"/>
                <w:szCs w:val="24"/>
                <w:lang w:eastAsia="zh-CN"/>
              </w:rPr>
              <w:t>,</w:t>
            </w:r>
          </w:p>
          <w:p w14:paraId="3F4553D9" w14:textId="77777777" w:rsidR="00210BE9" w:rsidRPr="00702D49" w:rsidRDefault="00210BE9" w:rsidP="00421D54">
            <w:pPr>
              <w:pStyle w:val="TableParagraph"/>
              <w:ind w:right="27"/>
              <w:rPr>
                <w:rFonts w:eastAsiaTheme="minorEastAsia"/>
                <w:sz w:val="24"/>
                <w:szCs w:val="24"/>
                <w:lang w:eastAsia="zh-CN"/>
              </w:rPr>
            </w:pPr>
            <w:r>
              <w:rPr>
                <w:sz w:val="21"/>
                <w:szCs w:val="21"/>
                <w:lang w:eastAsia="zh-CN"/>
              </w:rPr>
              <w:t xml:space="preserve">Spearman Correlation </w:t>
            </w:r>
            <w:proofErr w:type="gramStart"/>
            <w:r>
              <w:rPr>
                <w:rFonts w:eastAsiaTheme="minorEastAsia" w:hint="eastAsia"/>
                <w:sz w:val="21"/>
                <w:szCs w:val="21"/>
                <w:lang w:eastAsia="zh-CN"/>
              </w:rPr>
              <w:t>Heatmap ,</w:t>
            </w:r>
            <w:proofErr w:type="gramEnd"/>
            <w:r w:rsidRPr="00121E0B">
              <w:rPr>
                <w:rFonts w:asciiTheme="minorHAnsi" w:eastAsiaTheme="minorEastAsia" w:hAnsiTheme="minorHAnsi" w:cstheme="minorBidi"/>
                <w:kern w:val="2"/>
                <w:sz w:val="21"/>
                <w:szCs w:val="21"/>
              </w:rPr>
              <w:t xml:space="preserve"> </w:t>
            </w:r>
            <w:r w:rsidRPr="00287C4F">
              <w:rPr>
                <w:sz w:val="21"/>
                <w:szCs w:val="21"/>
                <w:lang w:eastAsia="zh-CN"/>
              </w:rPr>
              <w:t>Stacked Bar Chart</w:t>
            </w:r>
          </w:p>
        </w:tc>
        <w:tc>
          <w:tcPr>
            <w:tcW w:w="2339" w:type="dxa"/>
          </w:tcPr>
          <w:p w14:paraId="61AE8EBC" w14:textId="77777777" w:rsidR="00210BE9" w:rsidRDefault="00210BE9" w:rsidP="00421D54">
            <w:pPr>
              <w:pStyle w:val="TableParagraph"/>
              <w:ind w:right="26"/>
              <w:rPr>
                <w:b/>
                <w:sz w:val="24"/>
              </w:rPr>
            </w:pPr>
            <w:r>
              <w:rPr>
                <w:b/>
                <w:color w:val="4471C4"/>
                <w:spacing w:val="-2"/>
                <w:sz w:val="24"/>
              </w:rPr>
              <w:t>33.3%</w:t>
            </w:r>
          </w:p>
        </w:tc>
      </w:tr>
      <w:tr w:rsidR="00210BE9" w14:paraId="26158E2D" w14:textId="77777777" w:rsidTr="00421D54">
        <w:trPr>
          <w:trHeight w:val="684"/>
        </w:trPr>
        <w:tc>
          <w:tcPr>
            <w:tcW w:w="2338" w:type="dxa"/>
          </w:tcPr>
          <w:p w14:paraId="172789B2" w14:textId="77777777" w:rsidR="00210BE9" w:rsidRPr="00702D49" w:rsidRDefault="00210BE9" w:rsidP="00421D54">
            <w:pPr>
              <w:pStyle w:val="TableParagraph"/>
              <w:ind w:left="9"/>
              <w:rPr>
                <w:b/>
                <w:color w:val="4471C4"/>
                <w:spacing w:val="-2"/>
                <w:sz w:val="24"/>
              </w:rPr>
            </w:pPr>
            <w:r w:rsidRPr="00702D49">
              <w:rPr>
                <w:b/>
                <w:color w:val="4471C4"/>
                <w:spacing w:val="-2"/>
                <w:sz w:val="24"/>
              </w:rPr>
              <w:t>A20563437</w:t>
            </w:r>
          </w:p>
          <w:p w14:paraId="62DA207E" w14:textId="77777777" w:rsidR="00210BE9" w:rsidRDefault="00210BE9" w:rsidP="00421D54">
            <w:pPr>
              <w:pStyle w:val="TableParagraph"/>
              <w:ind w:left="9"/>
              <w:rPr>
                <w:b/>
                <w:sz w:val="24"/>
              </w:rPr>
            </w:pPr>
          </w:p>
        </w:tc>
        <w:tc>
          <w:tcPr>
            <w:tcW w:w="2339" w:type="dxa"/>
          </w:tcPr>
          <w:p w14:paraId="651D7B45" w14:textId="77777777" w:rsidR="00210BE9" w:rsidRPr="00702D49" w:rsidRDefault="00210BE9" w:rsidP="00421D54">
            <w:pPr>
              <w:pStyle w:val="TableParagraph"/>
              <w:ind w:right="24"/>
              <w:rPr>
                <w:rFonts w:eastAsiaTheme="minorEastAsia"/>
                <w:b/>
                <w:sz w:val="24"/>
                <w:lang w:eastAsia="zh-CN"/>
              </w:rPr>
            </w:pPr>
            <w:proofErr w:type="spellStart"/>
            <w:r>
              <w:rPr>
                <w:rFonts w:eastAsiaTheme="minorEastAsia" w:hint="eastAsia"/>
                <w:b/>
                <w:color w:val="4471C4"/>
                <w:sz w:val="24"/>
                <w:lang w:eastAsia="zh-CN"/>
              </w:rPr>
              <w:t>Xinhong</w:t>
            </w:r>
            <w:proofErr w:type="spellEnd"/>
            <w:r>
              <w:rPr>
                <w:rFonts w:eastAsiaTheme="minorEastAsia" w:hint="eastAsia"/>
                <w:b/>
                <w:color w:val="4471C4"/>
                <w:sz w:val="24"/>
                <w:lang w:eastAsia="zh-CN"/>
              </w:rPr>
              <w:t xml:space="preserve"> Hu</w:t>
            </w:r>
          </w:p>
        </w:tc>
        <w:tc>
          <w:tcPr>
            <w:tcW w:w="2339" w:type="dxa"/>
          </w:tcPr>
          <w:p w14:paraId="370EE108" w14:textId="77777777" w:rsidR="00210BE9" w:rsidRDefault="00210BE9" w:rsidP="00421D54">
            <w:pPr>
              <w:pStyle w:val="TableParagraph"/>
              <w:ind w:right="27"/>
              <w:rPr>
                <w:rFonts w:eastAsiaTheme="minorEastAsia"/>
                <w:sz w:val="21"/>
                <w:szCs w:val="21"/>
                <w:lang w:eastAsia="zh-CN"/>
              </w:rPr>
            </w:pPr>
            <w:r>
              <w:rPr>
                <w:sz w:val="21"/>
                <w:szCs w:val="21"/>
                <w:lang w:eastAsia="zh-CN"/>
              </w:rPr>
              <w:t xml:space="preserve">Bar </w:t>
            </w:r>
            <w:proofErr w:type="gramStart"/>
            <w:r>
              <w:rPr>
                <w:sz w:val="21"/>
                <w:szCs w:val="21"/>
                <w:lang w:eastAsia="zh-CN"/>
              </w:rPr>
              <w:t>Chart</w:t>
            </w:r>
            <w:r>
              <w:rPr>
                <w:rFonts w:eastAsiaTheme="minorEastAsia" w:hint="eastAsia"/>
                <w:sz w:val="21"/>
                <w:szCs w:val="21"/>
                <w:lang w:eastAsia="zh-CN"/>
              </w:rPr>
              <w:t xml:space="preserve"> ,</w:t>
            </w:r>
            <w:proofErr w:type="gramEnd"/>
          </w:p>
          <w:p w14:paraId="50DBB703" w14:textId="77777777" w:rsidR="00210BE9" w:rsidRPr="00287C4F" w:rsidRDefault="00210BE9" w:rsidP="00421D54">
            <w:pPr>
              <w:pStyle w:val="TableParagraph"/>
              <w:ind w:right="27"/>
              <w:rPr>
                <w:rFonts w:eastAsiaTheme="minorEastAsia"/>
                <w:b/>
                <w:sz w:val="24"/>
              </w:rPr>
            </w:pPr>
            <w:r>
              <w:rPr>
                <w:sz w:val="21"/>
                <w:szCs w:val="21"/>
                <w:lang w:eastAsia="zh-CN"/>
              </w:rPr>
              <w:t>Correlation Heatmap</w:t>
            </w:r>
            <w:r>
              <w:rPr>
                <w:rFonts w:eastAsiaTheme="minorEastAsia" w:hint="eastAsia"/>
                <w:sz w:val="21"/>
                <w:szCs w:val="21"/>
                <w:lang w:eastAsia="zh-CN"/>
              </w:rPr>
              <w:t>,</w:t>
            </w:r>
            <w:r>
              <w:rPr>
                <w:szCs w:val="21"/>
              </w:rPr>
              <w:t xml:space="preserve"> </w:t>
            </w:r>
            <w:proofErr w:type="spellStart"/>
            <w:r>
              <w:rPr>
                <w:szCs w:val="21"/>
              </w:rPr>
              <w:t>Pairplot</w:t>
            </w:r>
            <w:proofErr w:type="spellEnd"/>
          </w:p>
        </w:tc>
        <w:tc>
          <w:tcPr>
            <w:tcW w:w="2339" w:type="dxa"/>
          </w:tcPr>
          <w:p w14:paraId="1808D665" w14:textId="77777777" w:rsidR="00210BE9" w:rsidRDefault="00210BE9" w:rsidP="00421D54">
            <w:pPr>
              <w:pStyle w:val="TableParagraph"/>
              <w:ind w:right="26"/>
              <w:rPr>
                <w:b/>
                <w:sz w:val="24"/>
              </w:rPr>
            </w:pPr>
            <w:r>
              <w:rPr>
                <w:b/>
                <w:color w:val="4471C4"/>
                <w:spacing w:val="-2"/>
                <w:sz w:val="24"/>
              </w:rPr>
              <w:t>33.3%</w:t>
            </w:r>
          </w:p>
        </w:tc>
      </w:tr>
      <w:tr w:rsidR="00210BE9" w14:paraId="260E4FE7" w14:textId="77777777" w:rsidTr="00421D54">
        <w:trPr>
          <w:trHeight w:val="858"/>
        </w:trPr>
        <w:tc>
          <w:tcPr>
            <w:tcW w:w="2338" w:type="dxa"/>
          </w:tcPr>
          <w:p w14:paraId="23FC11A4" w14:textId="77777777" w:rsidR="00210BE9" w:rsidRPr="00702D49" w:rsidRDefault="00210BE9" w:rsidP="00421D54">
            <w:pPr>
              <w:pStyle w:val="TableParagraph"/>
              <w:ind w:left="9"/>
              <w:rPr>
                <w:b/>
                <w:color w:val="4471C4"/>
                <w:spacing w:val="-2"/>
                <w:sz w:val="24"/>
              </w:rPr>
            </w:pPr>
            <w:r w:rsidRPr="00702D49">
              <w:rPr>
                <w:b/>
                <w:color w:val="4471C4"/>
                <w:spacing w:val="-2"/>
                <w:sz w:val="24"/>
              </w:rPr>
              <w:t>A20563438</w:t>
            </w:r>
          </w:p>
          <w:p w14:paraId="183D8A63" w14:textId="77777777" w:rsidR="00210BE9" w:rsidRDefault="00210BE9" w:rsidP="00421D54">
            <w:pPr>
              <w:pStyle w:val="TableParagraph"/>
              <w:ind w:left="9"/>
              <w:rPr>
                <w:b/>
                <w:sz w:val="24"/>
              </w:rPr>
            </w:pPr>
          </w:p>
        </w:tc>
        <w:tc>
          <w:tcPr>
            <w:tcW w:w="2339" w:type="dxa"/>
          </w:tcPr>
          <w:p w14:paraId="0BF2A839" w14:textId="77777777" w:rsidR="00210BE9" w:rsidRPr="00702D49" w:rsidRDefault="00210BE9" w:rsidP="00421D54">
            <w:pPr>
              <w:pStyle w:val="TableParagraph"/>
              <w:ind w:right="24"/>
              <w:rPr>
                <w:rFonts w:eastAsiaTheme="minorEastAsia"/>
                <w:b/>
                <w:sz w:val="24"/>
                <w:lang w:eastAsia="zh-CN"/>
              </w:rPr>
            </w:pPr>
            <w:proofErr w:type="spellStart"/>
            <w:r w:rsidRPr="00702D49">
              <w:rPr>
                <w:rFonts w:eastAsiaTheme="minorEastAsia" w:hint="eastAsia"/>
                <w:b/>
                <w:color w:val="4471C4"/>
                <w:sz w:val="24"/>
                <w:lang w:eastAsia="zh-CN"/>
              </w:rPr>
              <w:t>Zhengyang</w:t>
            </w:r>
            <w:proofErr w:type="spellEnd"/>
            <w:r w:rsidRPr="00702D49">
              <w:rPr>
                <w:rFonts w:eastAsiaTheme="minorEastAsia" w:hint="eastAsia"/>
                <w:b/>
                <w:color w:val="4471C4"/>
                <w:sz w:val="24"/>
                <w:lang w:eastAsia="zh-CN"/>
              </w:rPr>
              <w:t xml:space="preserve"> Zhu</w:t>
            </w:r>
          </w:p>
        </w:tc>
        <w:tc>
          <w:tcPr>
            <w:tcW w:w="2339" w:type="dxa"/>
          </w:tcPr>
          <w:p w14:paraId="772C4548" w14:textId="20F452E0" w:rsidR="00210BE9" w:rsidRPr="00702D49" w:rsidRDefault="00210BE9" w:rsidP="00421D54">
            <w:pPr>
              <w:pStyle w:val="TableParagraph"/>
              <w:ind w:right="27"/>
              <w:rPr>
                <w:rFonts w:eastAsiaTheme="minorEastAsia"/>
                <w:b/>
                <w:sz w:val="24"/>
              </w:rPr>
            </w:pPr>
            <w:r>
              <w:rPr>
                <w:sz w:val="21"/>
                <w:szCs w:val="21"/>
                <w:lang w:eastAsia="zh-CN"/>
              </w:rPr>
              <w:t>Histogram</w:t>
            </w:r>
            <w:r>
              <w:rPr>
                <w:rFonts w:eastAsiaTheme="minorEastAsia" w:hint="eastAsia"/>
                <w:sz w:val="21"/>
                <w:szCs w:val="21"/>
                <w:lang w:eastAsia="zh-CN"/>
              </w:rPr>
              <w:t xml:space="preserve">, </w:t>
            </w:r>
            <w:r>
              <w:rPr>
                <w:sz w:val="21"/>
                <w:szCs w:val="21"/>
                <w:lang w:eastAsia="zh-CN"/>
              </w:rPr>
              <w:t>Box Plot</w:t>
            </w:r>
            <w:r>
              <w:rPr>
                <w:rFonts w:eastAsiaTheme="minorEastAsia" w:hint="eastAsia"/>
                <w:sz w:val="21"/>
                <w:szCs w:val="21"/>
                <w:lang w:eastAsia="zh-CN"/>
              </w:rPr>
              <w:t xml:space="preserve"> and</w:t>
            </w:r>
            <w:r>
              <w:rPr>
                <w:sz w:val="21"/>
                <w:szCs w:val="21"/>
                <w:lang w:eastAsia="zh-CN"/>
              </w:rPr>
              <w:t xml:space="preserve"> Choropleth Map</w:t>
            </w:r>
            <w:r>
              <w:rPr>
                <w:rFonts w:eastAsiaTheme="minorEastAsia" w:hint="eastAsia"/>
                <w:sz w:val="21"/>
                <w:szCs w:val="21"/>
                <w:lang w:eastAsia="zh-CN"/>
              </w:rPr>
              <w:t xml:space="preserve">, </w:t>
            </w:r>
            <w:r>
              <w:rPr>
                <w:rFonts w:ascii="Segoe UI" w:eastAsia="Segoe UI" w:hAnsi="Segoe UI" w:cs="Segoe UI"/>
                <w:sz w:val="19"/>
                <w:szCs w:val="19"/>
                <w:shd w:val="clear" w:color="auto" w:fill="FFFFFF"/>
              </w:rPr>
              <w:t xml:space="preserve">Parallel </w:t>
            </w:r>
            <w:r w:rsidRPr="00210BE9">
              <w:rPr>
                <w:sz w:val="21"/>
                <w:szCs w:val="21"/>
                <w:lang w:eastAsia="zh-CN"/>
              </w:rPr>
              <w:t xml:space="preserve">Coordinate Plot </w:t>
            </w:r>
          </w:p>
          <w:p w14:paraId="786ACC4B" w14:textId="77777777" w:rsidR="00210BE9" w:rsidRPr="00702D49" w:rsidRDefault="00210BE9" w:rsidP="00421D54">
            <w:pPr>
              <w:pStyle w:val="TableParagraph"/>
              <w:ind w:right="27"/>
              <w:rPr>
                <w:rFonts w:eastAsiaTheme="minorEastAsia"/>
                <w:b/>
                <w:sz w:val="24"/>
              </w:rPr>
            </w:pPr>
          </w:p>
        </w:tc>
        <w:tc>
          <w:tcPr>
            <w:tcW w:w="2339" w:type="dxa"/>
          </w:tcPr>
          <w:p w14:paraId="342C643D" w14:textId="77777777" w:rsidR="00210BE9" w:rsidRDefault="00210BE9" w:rsidP="00421D54">
            <w:pPr>
              <w:pStyle w:val="TableParagraph"/>
              <w:rPr>
                <w:b/>
                <w:sz w:val="24"/>
              </w:rPr>
            </w:pPr>
            <w:r>
              <w:rPr>
                <w:b/>
                <w:color w:val="4471C4"/>
                <w:spacing w:val="-2"/>
                <w:sz w:val="24"/>
              </w:rPr>
              <w:t>33.3%</w:t>
            </w:r>
          </w:p>
        </w:tc>
      </w:tr>
    </w:tbl>
    <w:p w14:paraId="1B655391" w14:textId="77777777" w:rsidR="00210BE9" w:rsidRDefault="00210BE9">
      <w:pPr>
        <w:rPr>
          <w:rFonts w:hint="eastAsia"/>
          <w:sz w:val="44"/>
          <w:szCs w:val="44"/>
        </w:rPr>
      </w:pPr>
    </w:p>
    <w:p w14:paraId="15DD9C49" w14:textId="77777777" w:rsidR="00D41FB8" w:rsidRDefault="00000000">
      <w:pPr>
        <w:rPr>
          <w:sz w:val="28"/>
          <w:szCs w:val="28"/>
        </w:rPr>
      </w:pPr>
      <w:r>
        <w:rPr>
          <w:sz w:val="28"/>
          <w:szCs w:val="28"/>
        </w:rPr>
        <w:t>Brief description of the dataset</w:t>
      </w:r>
      <w:r>
        <w:rPr>
          <w:rFonts w:hint="eastAsia"/>
          <w:sz w:val="28"/>
          <w:szCs w:val="28"/>
        </w:rPr>
        <w:t>：</w:t>
      </w:r>
    </w:p>
    <w:p w14:paraId="71C16619" w14:textId="77777777" w:rsidR="00D41FB8" w:rsidRDefault="00000000">
      <w:pPr>
        <w:ind w:firstLine="420"/>
        <w:rPr>
          <w:szCs w:val="21"/>
        </w:rPr>
      </w:pPr>
      <w:r>
        <w:rPr>
          <w:szCs w:val="21"/>
        </w:rPr>
        <w:t>The dataset contains quality of life indices for various countries, including several key factors that contribute to overall life quality. Here's a breakdown of the columns:</w:t>
      </w:r>
    </w:p>
    <w:p w14:paraId="2376B529" w14:textId="77777777" w:rsidR="00D41FB8" w:rsidRDefault="00000000">
      <w:pPr>
        <w:ind w:firstLine="420"/>
        <w:rPr>
          <w:szCs w:val="21"/>
        </w:rPr>
      </w:pPr>
      <w:r>
        <w:rPr>
          <w:rFonts w:hint="eastAsia"/>
          <w:szCs w:val="21"/>
        </w:rPr>
        <w:t>1.</w:t>
      </w:r>
      <w:r>
        <w:rPr>
          <w:szCs w:val="21"/>
        </w:rPr>
        <w:t>Rank: The country's rank based on the overall quality of life index.</w:t>
      </w:r>
    </w:p>
    <w:p w14:paraId="1C10A4E9" w14:textId="77777777" w:rsidR="00D41FB8" w:rsidRDefault="00000000">
      <w:pPr>
        <w:ind w:firstLine="420"/>
        <w:rPr>
          <w:szCs w:val="21"/>
        </w:rPr>
      </w:pPr>
      <w:r>
        <w:rPr>
          <w:rFonts w:hint="eastAsia"/>
          <w:szCs w:val="21"/>
        </w:rPr>
        <w:t>2.</w:t>
      </w:r>
      <w:r>
        <w:rPr>
          <w:szCs w:val="21"/>
        </w:rPr>
        <w:t>Country: The name of the country.</w:t>
      </w:r>
    </w:p>
    <w:p w14:paraId="45934F44" w14:textId="77777777" w:rsidR="00D41FB8" w:rsidRDefault="00000000">
      <w:pPr>
        <w:ind w:firstLine="420"/>
        <w:rPr>
          <w:szCs w:val="21"/>
        </w:rPr>
      </w:pPr>
      <w:r>
        <w:rPr>
          <w:rFonts w:hint="eastAsia"/>
          <w:szCs w:val="21"/>
        </w:rPr>
        <w:t>3.</w:t>
      </w:r>
      <w:r>
        <w:rPr>
          <w:szCs w:val="21"/>
        </w:rPr>
        <w:t>Quality of Life Index: A comprehensive measure that combines various factors influencing the overall quality of life in a country.</w:t>
      </w:r>
    </w:p>
    <w:p w14:paraId="3F54CEA0" w14:textId="77777777" w:rsidR="00D41FB8" w:rsidRDefault="00000000">
      <w:pPr>
        <w:ind w:firstLine="420"/>
        <w:rPr>
          <w:szCs w:val="21"/>
        </w:rPr>
      </w:pPr>
      <w:r>
        <w:rPr>
          <w:rFonts w:hint="eastAsia"/>
          <w:szCs w:val="21"/>
        </w:rPr>
        <w:t>4.</w:t>
      </w:r>
      <w:r>
        <w:rPr>
          <w:szCs w:val="21"/>
        </w:rPr>
        <w:t>Purchasing Power Index: Represents the relative purchasing power in the country, showing how far a unit of currency goes in terms of buying goods and services.</w:t>
      </w:r>
    </w:p>
    <w:p w14:paraId="3387B1AF" w14:textId="77777777" w:rsidR="00D41FB8" w:rsidRDefault="00000000">
      <w:pPr>
        <w:ind w:firstLine="420"/>
        <w:rPr>
          <w:szCs w:val="21"/>
        </w:rPr>
      </w:pPr>
      <w:r>
        <w:rPr>
          <w:rFonts w:hint="eastAsia"/>
          <w:szCs w:val="21"/>
        </w:rPr>
        <w:t>5.</w:t>
      </w:r>
      <w:r>
        <w:rPr>
          <w:szCs w:val="21"/>
        </w:rPr>
        <w:t>Safety Index: Measures the perceived safety in a country, based on factors like crime rates.</w:t>
      </w:r>
    </w:p>
    <w:p w14:paraId="77B84D14" w14:textId="77777777" w:rsidR="00D41FB8" w:rsidRDefault="00000000">
      <w:pPr>
        <w:ind w:firstLine="420"/>
        <w:rPr>
          <w:szCs w:val="21"/>
        </w:rPr>
      </w:pPr>
      <w:r>
        <w:rPr>
          <w:rFonts w:hint="eastAsia"/>
          <w:szCs w:val="21"/>
        </w:rPr>
        <w:t>6.</w:t>
      </w:r>
      <w:r>
        <w:rPr>
          <w:szCs w:val="21"/>
        </w:rPr>
        <w:t>Health Care Index: Indicates the quality of healthcare in the country, including accessibility and affordability.</w:t>
      </w:r>
    </w:p>
    <w:p w14:paraId="7471F58B" w14:textId="77777777" w:rsidR="00D41FB8" w:rsidRDefault="00000000">
      <w:pPr>
        <w:ind w:firstLine="420"/>
        <w:rPr>
          <w:szCs w:val="21"/>
        </w:rPr>
      </w:pPr>
      <w:r>
        <w:rPr>
          <w:rFonts w:hint="eastAsia"/>
          <w:szCs w:val="21"/>
        </w:rPr>
        <w:t>7.</w:t>
      </w:r>
      <w:r>
        <w:rPr>
          <w:szCs w:val="21"/>
        </w:rPr>
        <w:t>Cost of Living Index: Shows the relative cost of living in a country, covering expenses like food, housing, and utilities.</w:t>
      </w:r>
    </w:p>
    <w:p w14:paraId="52E5CA4F" w14:textId="77777777" w:rsidR="00D41FB8" w:rsidRDefault="00000000">
      <w:pPr>
        <w:ind w:firstLine="420"/>
        <w:rPr>
          <w:szCs w:val="21"/>
        </w:rPr>
      </w:pPr>
      <w:r>
        <w:rPr>
          <w:rFonts w:hint="eastAsia"/>
          <w:szCs w:val="21"/>
        </w:rPr>
        <w:t>8.</w:t>
      </w:r>
      <w:r>
        <w:rPr>
          <w:szCs w:val="21"/>
        </w:rPr>
        <w:t>Property Price to Income Ratio: A ratio indicating how affordable housing is in relation to income.</w:t>
      </w:r>
    </w:p>
    <w:p w14:paraId="548F196E" w14:textId="77777777" w:rsidR="00D41FB8" w:rsidRDefault="00000000">
      <w:pPr>
        <w:ind w:firstLine="420"/>
        <w:rPr>
          <w:szCs w:val="21"/>
        </w:rPr>
      </w:pPr>
      <w:r>
        <w:rPr>
          <w:rFonts w:hint="eastAsia"/>
          <w:szCs w:val="21"/>
        </w:rPr>
        <w:t>9.</w:t>
      </w:r>
      <w:r>
        <w:rPr>
          <w:szCs w:val="21"/>
        </w:rPr>
        <w:t>Traffic Commute Time Index: Measures the average commuting time in a country, highlighting traffic conditions and urban planning.</w:t>
      </w:r>
    </w:p>
    <w:p w14:paraId="10CF7DE9" w14:textId="77777777" w:rsidR="00D41FB8" w:rsidRDefault="00000000">
      <w:pPr>
        <w:ind w:firstLine="420"/>
        <w:rPr>
          <w:szCs w:val="21"/>
        </w:rPr>
      </w:pPr>
      <w:r>
        <w:rPr>
          <w:rFonts w:hint="eastAsia"/>
          <w:szCs w:val="21"/>
        </w:rPr>
        <w:t>10.</w:t>
      </w:r>
      <w:r>
        <w:rPr>
          <w:szCs w:val="21"/>
        </w:rPr>
        <w:t>Pollution Index: Reflects the level of pollution in a country, including air and water quality.</w:t>
      </w:r>
    </w:p>
    <w:p w14:paraId="031E0B2C" w14:textId="77777777" w:rsidR="00D41FB8" w:rsidRDefault="00000000">
      <w:pPr>
        <w:ind w:firstLine="420"/>
        <w:rPr>
          <w:szCs w:val="21"/>
        </w:rPr>
      </w:pPr>
      <w:r>
        <w:rPr>
          <w:rFonts w:hint="eastAsia"/>
          <w:szCs w:val="21"/>
        </w:rPr>
        <w:t>11.</w:t>
      </w:r>
      <w:r>
        <w:rPr>
          <w:szCs w:val="21"/>
        </w:rPr>
        <w:t>Climate Index: Measures the general climate quality, taking into account temperature, humidity, and comfort levels.</w:t>
      </w:r>
    </w:p>
    <w:p w14:paraId="329F3AF3" w14:textId="77777777" w:rsidR="00D41FB8" w:rsidRDefault="00000000">
      <w:pPr>
        <w:ind w:firstLine="420"/>
        <w:rPr>
          <w:szCs w:val="21"/>
        </w:rPr>
      </w:pPr>
      <w:r>
        <w:rPr>
          <w:szCs w:val="21"/>
        </w:rPr>
        <w:t xml:space="preserve">This dataset provides a comprehensive overview of factors contributing to the quality of life in different countries, allowing comparisons across regions based on key indices. </w:t>
      </w:r>
    </w:p>
    <w:p w14:paraId="21A55D50" w14:textId="77777777" w:rsidR="00D41FB8" w:rsidRDefault="00D41FB8">
      <w:pPr>
        <w:rPr>
          <w:sz w:val="28"/>
          <w:szCs w:val="28"/>
        </w:rPr>
      </w:pPr>
    </w:p>
    <w:p w14:paraId="5FF99928" w14:textId="77777777" w:rsidR="00D41FB8" w:rsidRDefault="00D41FB8">
      <w:pPr>
        <w:rPr>
          <w:sz w:val="28"/>
          <w:szCs w:val="28"/>
        </w:rPr>
      </w:pPr>
    </w:p>
    <w:p w14:paraId="05757E3C" w14:textId="77777777" w:rsidR="00D41FB8" w:rsidRDefault="00000000">
      <w:pPr>
        <w:rPr>
          <w:sz w:val="28"/>
          <w:szCs w:val="28"/>
        </w:rPr>
      </w:pPr>
      <w:r>
        <w:rPr>
          <w:sz w:val="28"/>
          <w:szCs w:val="28"/>
        </w:rPr>
        <w:lastRenderedPageBreak/>
        <w:t>Visualization of results</w:t>
      </w:r>
      <w:r>
        <w:rPr>
          <w:rFonts w:hint="eastAsia"/>
          <w:sz w:val="28"/>
          <w:szCs w:val="28"/>
        </w:rPr>
        <w:t>：</w:t>
      </w:r>
    </w:p>
    <w:p w14:paraId="07786A17" w14:textId="77777777" w:rsidR="00D41FB8" w:rsidRDefault="00000000">
      <w:r>
        <w:rPr>
          <w:noProof/>
        </w:rPr>
        <w:drawing>
          <wp:inline distT="0" distB="0" distL="114300" distR="114300" wp14:anchorId="74AE0F39" wp14:editId="548AEA5A">
            <wp:extent cx="5265420" cy="1707515"/>
            <wp:effectExtent l="0" t="0" r="508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5420" cy="1707515"/>
                    </a:xfrm>
                    <a:prstGeom prst="rect">
                      <a:avLst/>
                    </a:prstGeom>
                    <a:noFill/>
                    <a:ln>
                      <a:noFill/>
                    </a:ln>
                  </pic:spPr>
                </pic:pic>
              </a:graphicData>
            </a:graphic>
          </wp:inline>
        </w:drawing>
      </w:r>
    </w:p>
    <w:p w14:paraId="318AA0DD" w14:textId="77777777" w:rsidR="00D41FB8" w:rsidRDefault="00000000">
      <w:r>
        <w:rPr>
          <w:noProof/>
        </w:rPr>
        <w:drawing>
          <wp:inline distT="0" distB="0" distL="114300" distR="114300" wp14:anchorId="704D6738" wp14:editId="647DB817">
            <wp:extent cx="5697855" cy="3923665"/>
            <wp:effectExtent l="0" t="0" r="444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697855" cy="3923665"/>
                    </a:xfrm>
                    <a:prstGeom prst="rect">
                      <a:avLst/>
                    </a:prstGeom>
                    <a:noFill/>
                    <a:ln>
                      <a:noFill/>
                    </a:ln>
                  </pic:spPr>
                </pic:pic>
              </a:graphicData>
            </a:graphic>
          </wp:inline>
        </w:drawing>
      </w:r>
      <w:r>
        <w:rPr>
          <w:noProof/>
        </w:rPr>
        <w:lastRenderedPageBreak/>
        <w:drawing>
          <wp:inline distT="0" distB="0" distL="114300" distR="114300" wp14:anchorId="460C4829" wp14:editId="603925C2">
            <wp:extent cx="5552440" cy="3113405"/>
            <wp:effectExtent l="0" t="0" r="1016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552440" cy="3113405"/>
                    </a:xfrm>
                    <a:prstGeom prst="rect">
                      <a:avLst/>
                    </a:prstGeom>
                    <a:noFill/>
                    <a:ln>
                      <a:noFill/>
                    </a:ln>
                  </pic:spPr>
                </pic:pic>
              </a:graphicData>
            </a:graphic>
          </wp:inline>
        </w:drawing>
      </w:r>
    </w:p>
    <w:p w14:paraId="2E4A1414" w14:textId="77777777" w:rsidR="00D41FB8" w:rsidRDefault="00D41FB8">
      <w:pPr>
        <w:rPr>
          <w:szCs w:val="21"/>
        </w:rPr>
      </w:pPr>
    </w:p>
    <w:p w14:paraId="6AF11C47" w14:textId="77777777" w:rsidR="00D41FB8" w:rsidRDefault="00000000">
      <w:r>
        <w:rPr>
          <w:rFonts w:hint="eastAsia"/>
          <w:noProof/>
          <w:szCs w:val="21"/>
        </w:rPr>
        <w:drawing>
          <wp:inline distT="0" distB="0" distL="114300" distR="114300" wp14:anchorId="0B6A6DA7" wp14:editId="0CFD61E8">
            <wp:extent cx="4975225" cy="4327525"/>
            <wp:effectExtent l="0" t="0" r="3175" b="3175"/>
            <wp:docPr id="7" name="图片 7" descr="correlat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orrelation_matrix"/>
                    <pic:cNvPicPr>
                      <a:picLocks noChangeAspect="1"/>
                    </pic:cNvPicPr>
                  </pic:nvPicPr>
                  <pic:blipFill>
                    <a:blip r:embed="rId10"/>
                    <a:stretch>
                      <a:fillRect/>
                    </a:stretch>
                  </pic:blipFill>
                  <pic:spPr>
                    <a:xfrm>
                      <a:off x="0" y="0"/>
                      <a:ext cx="4975225" cy="4327525"/>
                    </a:xfrm>
                    <a:prstGeom prst="rect">
                      <a:avLst/>
                    </a:prstGeom>
                  </pic:spPr>
                </pic:pic>
              </a:graphicData>
            </a:graphic>
          </wp:inline>
        </w:drawing>
      </w:r>
      <w:r>
        <w:rPr>
          <w:noProof/>
        </w:rPr>
        <w:lastRenderedPageBreak/>
        <w:drawing>
          <wp:inline distT="0" distB="0" distL="114300" distR="114300" wp14:anchorId="6FA1CAA2" wp14:editId="2CE7A263">
            <wp:extent cx="5855335" cy="3754755"/>
            <wp:effectExtent l="0" t="0" r="12065" b="44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855335" cy="3754755"/>
                    </a:xfrm>
                    <a:prstGeom prst="rect">
                      <a:avLst/>
                    </a:prstGeom>
                    <a:noFill/>
                    <a:ln>
                      <a:noFill/>
                    </a:ln>
                  </pic:spPr>
                </pic:pic>
              </a:graphicData>
            </a:graphic>
          </wp:inline>
        </w:drawing>
      </w:r>
      <w:r>
        <w:rPr>
          <w:noProof/>
        </w:rPr>
        <w:drawing>
          <wp:inline distT="0" distB="0" distL="114300" distR="114300" wp14:anchorId="4D4D7B6B" wp14:editId="30848E57">
            <wp:extent cx="5270500" cy="1360805"/>
            <wp:effectExtent l="0" t="0" r="0" b="1079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5270500" cy="1360805"/>
                    </a:xfrm>
                    <a:prstGeom prst="rect">
                      <a:avLst/>
                    </a:prstGeom>
                    <a:noFill/>
                    <a:ln>
                      <a:noFill/>
                    </a:ln>
                  </pic:spPr>
                </pic:pic>
              </a:graphicData>
            </a:graphic>
          </wp:inline>
        </w:drawing>
      </w:r>
      <w:r>
        <w:rPr>
          <w:noProof/>
        </w:rPr>
        <w:drawing>
          <wp:inline distT="0" distB="0" distL="114300" distR="114300" wp14:anchorId="68556A9B" wp14:editId="2FE7B5B2">
            <wp:extent cx="5273675" cy="1683385"/>
            <wp:effectExtent l="0" t="0" r="9525" b="571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5273675" cy="1683385"/>
                    </a:xfrm>
                    <a:prstGeom prst="rect">
                      <a:avLst/>
                    </a:prstGeom>
                    <a:noFill/>
                    <a:ln>
                      <a:noFill/>
                    </a:ln>
                  </pic:spPr>
                </pic:pic>
              </a:graphicData>
            </a:graphic>
          </wp:inline>
        </w:drawing>
      </w:r>
      <w:r>
        <w:rPr>
          <w:noProof/>
        </w:rPr>
        <w:drawing>
          <wp:inline distT="0" distB="0" distL="114300" distR="114300" wp14:anchorId="67322B07" wp14:editId="0AA9A2AF">
            <wp:extent cx="5273675" cy="1611630"/>
            <wp:effectExtent l="0" t="0" r="9525" b="127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5273675" cy="1611630"/>
                    </a:xfrm>
                    <a:prstGeom prst="rect">
                      <a:avLst/>
                    </a:prstGeom>
                    <a:noFill/>
                    <a:ln>
                      <a:noFill/>
                    </a:ln>
                  </pic:spPr>
                </pic:pic>
              </a:graphicData>
            </a:graphic>
          </wp:inline>
        </w:drawing>
      </w:r>
      <w:r>
        <w:rPr>
          <w:noProof/>
        </w:rPr>
        <w:lastRenderedPageBreak/>
        <w:drawing>
          <wp:inline distT="0" distB="0" distL="114300" distR="114300" wp14:anchorId="28D2BFB5" wp14:editId="38115C12">
            <wp:extent cx="5270500" cy="3826510"/>
            <wp:effectExtent l="0" t="0" r="0" b="889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5"/>
                    <a:stretch>
                      <a:fillRect/>
                    </a:stretch>
                  </pic:blipFill>
                  <pic:spPr>
                    <a:xfrm>
                      <a:off x="0" y="0"/>
                      <a:ext cx="5270500" cy="3826510"/>
                    </a:xfrm>
                    <a:prstGeom prst="rect">
                      <a:avLst/>
                    </a:prstGeom>
                    <a:noFill/>
                    <a:ln>
                      <a:noFill/>
                    </a:ln>
                  </pic:spPr>
                </pic:pic>
              </a:graphicData>
            </a:graphic>
          </wp:inline>
        </w:drawing>
      </w:r>
    </w:p>
    <w:p w14:paraId="00BC2678" w14:textId="5B81654A" w:rsidR="00006F01" w:rsidRDefault="00006F01">
      <w:pPr>
        <w:rPr>
          <w:szCs w:val="21"/>
        </w:rPr>
      </w:pPr>
      <w:r>
        <w:rPr>
          <w:rFonts w:hint="eastAsia"/>
          <w:noProof/>
        </w:rPr>
        <w:drawing>
          <wp:inline distT="0" distB="0" distL="114300" distR="114300" wp14:anchorId="2784E1CA" wp14:editId="2FD6B8EF">
            <wp:extent cx="5273675" cy="4072255"/>
            <wp:effectExtent l="0" t="0" r="14605" b="12065"/>
            <wp:docPr id="895187489" name="图片 895187489" descr="img_1740914417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1740914417278"/>
                    <pic:cNvPicPr>
                      <a:picLocks noChangeAspect="1"/>
                    </pic:cNvPicPr>
                  </pic:nvPicPr>
                  <pic:blipFill>
                    <a:blip r:embed="rId16"/>
                    <a:stretch>
                      <a:fillRect/>
                    </a:stretch>
                  </pic:blipFill>
                  <pic:spPr>
                    <a:xfrm>
                      <a:off x="0" y="0"/>
                      <a:ext cx="5273675" cy="4072255"/>
                    </a:xfrm>
                    <a:prstGeom prst="rect">
                      <a:avLst/>
                    </a:prstGeom>
                  </pic:spPr>
                </pic:pic>
              </a:graphicData>
            </a:graphic>
          </wp:inline>
        </w:drawing>
      </w:r>
    </w:p>
    <w:p w14:paraId="1ABB5993" w14:textId="6FCF45F9" w:rsidR="003B6FF6" w:rsidRPr="00006F01" w:rsidRDefault="003B6FF6">
      <w:pPr>
        <w:rPr>
          <w:szCs w:val="21"/>
        </w:rPr>
      </w:pPr>
      <w:r>
        <w:rPr>
          <w:rFonts w:hint="eastAsia"/>
          <w:noProof/>
        </w:rPr>
        <w:lastRenderedPageBreak/>
        <w:drawing>
          <wp:inline distT="0" distB="0" distL="0" distR="0" wp14:anchorId="2A8D20F1" wp14:editId="03CB3E06">
            <wp:extent cx="5274310" cy="2964180"/>
            <wp:effectExtent l="0" t="0" r="2540" b="7620"/>
            <wp:docPr id="8216049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4180"/>
                    </a:xfrm>
                    <a:prstGeom prst="rect">
                      <a:avLst/>
                    </a:prstGeom>
                    <a:noFill/>
                    <a:ln>
                      <a:noFill/>
                    </a:ln>
                  </pic:spPr>
                </pic:pic>
              </a:graphicData>
            </a:graphic>
          </wp:inline>
        </w:drawing>
      </w:r>
    </w:p>
    <w:p w14:paraId="3ED6C7E7" w14:textId="7EFE66D6" w:rsidR="00D41FB8" w:rsidRDefault="00000000">
      <w:pPr>
        <w:rPr>
          <w:sz w:val="28"/>
          <w:szCs w:val="28"/>
        </w:rPr>
      </w:pPr>
      <w:r>
        <w:rPr>
          <w:sz w:val="28"/>
          <w:szCs w:val="28"/>
        </w:rPr>
        <w:t>Visualization Methods Used</w:t>
      </w:r>
      <w:r>
        <w:rPr>
          <w:rFonts w:hint="eastAsia"/>
          <w:sz w:val="28"/>
          <w:szCs w:val="28"/>
        </w:rPr>
        <w:t>：</w:t>
      </w:r>
    </w:p>
    <w:p w14:paraId="50BFC95A" w14:textId="77777777" w:rsidR="00D41FB8" w:rsidRDefault="00000000">
      <w:pPr>
        <w:ind w:firstLine="420"/>
        <w:rPr>
          <w:szCs w:val="21"/>
        </w:rPr>
      </w:pPr>
      <w:r>
        <w:rPr>
          <w:rFonts w:hint="eastAsia"/>
          <w:szCs w:val="21"/>
        </w:rPr>
        <w:t>1.</w:t>
      </w:r>
      <w:proofErr w:type="gramStart"/>
      <w:r>
        <w:rPr>
          <w:szCs w:val="21"/>
        </w:rPr>
        <w:t>Histogram</w:t>
      </w:r>
      <w:r>
        <w:rPr>
          <w:rFonts w:hint="eastAsia"/>
          <w:szCs w:val="21"/>
        </w:rPr>
        <w:t>:</w:t>
      </w:r>
      <w:r>
        <w:rPr>
          <w:szCs w:val="21"/>
        </w:rPr>
        <w:t>Displays</w:t>
      </w:r>
      <w:proofErr w:type="gramEnd"/>
      <w:r>
        <w:rPr>
          <w:szCs w:val="21"/>
        </w:rPr>
        <w:t xml:space="preserve"> the distribution of indices such as Quality of Life Index, Purchasing Power Index, and Safety Index, helping to understand their frequency distribution.</w:t>
      </w:r>
    </w:p>
    <w:p w14:paraId="689C52C4" w14:textId="77777777" w:rsidR="00D41FB8" w:rsidRDefault="00D41FB8">
      <w:pPr>
        <w:ind w:firstLine="420"/>
        <w:rPr>
          <w:szCs w:val="21"/>
        </w:rPr>
      </w:pPr>
    </w:p>
    <w:p w14:paraId="50201792" w14:textId="77777777" w:rsidR="00D41FB8" w:rsidRDefault="00000000">
      <w:pPr>
        <w:ind w:firstLine="420"/>
        <w:rPr>
          <w:szCs w:val="21"/>
        </w:rPr>
      </w:pPr>
      <w:r>
        <w:rPr>
          <w:rFonts w:hint="eastAsia"/>
          <w:szCs w:val="21"/>
        </w:rPr>
        <w:t>2.</w:t>
      </w:r>
      <w:r>
        <w:rPr>
          <w:szCs w:val="21"/>
        </w:rPr>
        <w:t xml:space="preserve">Box </w:t>
      </w:r>
      <w:proofErr w:type="spellStart"/>
      <w:proofErr w:type="gramStart"/>
      <w:r>
        <w:rPr>
          <w:szCs w:val="21"/>
        </w:rPr>
        <w:t>Plot</w:t>
      </w:r>
      <w:r>
        <w:rPr>
          <w:rFonts w:hint="eastAsia"/>
          <w:szCs w:val="21"/>
        </w:rPr>
        <w:t>:</w:t>
      </w:r>
      <w:r>
        <w:rPr>
          <w:szCs w:val="21"/>
        </w:rPr>
        <w:t>Illustrates</w:t>
      </w:r>
      <w:proofErr w:type="spellEnd"/>
      <w:proofErr w:type="gramEnd"/>
      <w:r>
        <w:rPr>
          <w:szCs w:val="21"/>
        </w:rPr>
        <w:t xml:space="preserve"> the distribution, median, and outliers of multiple indices, including Health Care Index, Cost of Living Index, Property Price to Income Ratio, Traffic Commute Time Index, Pollution Index, and Climate Index.</w:t>
      </w:r>
    </w:p>
    <w:p w14:paraId="7A352B3B" w14:textId="77777777" w:rsidR="00D41FB8" w:rsidRDefault="00D41FB8">
      <w:pPr>
        <w:ind w:firstLine="420"/>
        <w:rPr>
          <w:szCs w:val="21"/>
        </w:rPr>
      </w:pPr>
    </w:p>
    <w:p w14:paraId="64C8658D" w14:textId="77777777" w:rsidR="00D41FB8" w:rsidRDefault="00000000">
      <w:pPr>
        <w:ind w:firstLine="420"/>
        <w:rPr>
          <w:szCs w:val="21"/>
        </w:rPr>
      </w:pPr>
      <w:r>
        <w:rPr>
          <w:rFonts w:hint="eastAsia"/>
          <w:szCs w:val="21"/>
        </w:rPr>
        <w:t>3.</w:t>
      </w:r>
      <w:r>
        <w:rPr>
          <w:szCs w:val="21"/>
        </w:rPr>
        <w:t xml:space="preserve">Choropleth </w:t>
      </w:r>
      <w:proofErr w:type="spellStart"/>
      <w:proofErr w:type="gramStart"/>
      <w:r>
        <w:rPr>
          <w:szCs w:val="21"/>
        </w:rPr>
        <w:t>Map</w:t>
      </w:r>
      <w:r>
        <w:rPr>
          <w:rFonts w:hint="eastAsia"/>
          <w:szCs w:val="21"/>
        </w:rPr>
        <w:t>:</w:t>
      </w:r>
      <w:r>
        <w:rPr>
          <w:szCs w:val="21"/>
        </w:rPr>
        <w:t>Provides</w:t>
      </w:r>
      <w:proofErr w:type="spellEnd"/>
      <w:proofErr w:type="gramEnd"/>
      <w:r>
        <w:rPr>
          <w:szCs w:val="21"/>
        </w:rPr>
        <w:t xml:space="preserve"> a geospatial visualization of the Quality of Life Index across different countries, using color intensity to indicate index values.</w:t>
      </w:r>
    </w:p>
    <w:p w14:paraId="76ECBA72" w14:textId="77777777" w:rsidR="00D41FB8" w:rsidRDefault="00D41FB8">
      <w:pPr>
        <w:ind w:firstLine="420"/>
        <w:rPr>
          <w:szCs w:val="21"/>
        </w:rPr>
      </w:pPr>
    </w:p>
    <w:p w14:paraId="72B99AA7" w14:textId="77777777" w:rsidR="00D41FB8" w:rsidRDefault="00000000">
      <w:pPr>
        <w:ind w:firstLine="420"/>
        <w:rPr>
          <w:szCs w:val="21"/>
        </w:rPr>
      </w:pPr>
      <w:r>
        <w:rPr>
          <w:rFonts w:hint="eastAsia"/>
          <w:szCs w:val="21"/>
        </w:rPr>
        <w:t>4.</w:t>
      </w:r>
      <w:r>
        <w:rPr>
          <w:szCs w:val="21"/>
        </w:rPr>
        <w:t>Pairplot (Scatterplot Matrix</w:t>
      </w:r>
      <w:proofErr w:type="gramStart"/>
      <w:r>
        <w:rPr>
          <w:szCs w:val="21"/>
        </w:rPr>
        <w:t>)</w:t>
      </w:r>
      <w:r>
        <w:rPr>
          <w:rFonts w:hint="eastAsia"/>
          <w:szCs w:val="21"/>
        </w:rPr>
        <w:t>:</w:t>
      </w:r>
      <w:r>
        <w:rPr>
          <w:szCs w:val="21"/>
        </w:rPr>
        <w:t>Shows</w:t>
      </w:r>
      <w:proofErr w:type="gramEnd"/>
      <w:r>
        <w:rPr>
          <w:szCs w:val="21"/>
        </w:rPr>
        <w:t xml:space="preserve"> pairwise relationships among Traffic Commute Time Index, Pollution Index, and Climate Index, allowing an assessment of potential correlations.</w:t>
      </w:r>
    </w:p>
    <w:p w14:paraId="556EE098" w14:textId="77777777" w:rsidR="00D41FB8" w:rsidRDefault="00D41FB8">
      <w:pPr>
        <w:ind w:firstLine="420"/>
        <w:rPr>
          <w:szCs w:val="21"/>
        </w:rPr>
      </w:pPr>
    </w:p>
    <w:p w14:paraId="19AAFEAA" w14:textId="77777777" w:rsidR="00D41FB8" w:rsidRDefault="00000000">
      <w:pPr>
        <w:ind w:firstLine="420"/>
        <w:rPr>
          <w:szCs w:val="21"/>
        </w:rPr>
      </w:pPr>
      <w:r>
        <w:rPr>
          <w:rFonts w:hint="eastAsia"/>
          <w:szCs w:val="21"/>
        </w:rPr>
        <w:t>5.</w:t>
      </w:r>
      <w:r>
        <w:rPr>
          <w:szCs w:val="21"/>
        </w:rPr>
        <w:t xml:space="preserve">Correlation </w:t>
      </w:r>
      <w:proofErr w:type="spellStart"/>
      <w:proofErr w:type="gramStart"/>
      <w:r>
        <w:rPr>
          <w:szCs w:val="21"/>
        </w:rPr>
        <w:t>Heatmap</w:t>
      </w:r>
      <w:r>
        <w:rPr>
          <w:rFonts w:hint="eastAsia"/>
          <w:szCs w:val="21"/>
        </w:rPr>
        <w:t>:</w:t>
      </w:r>
      <w:r>
        <w:rPr>
          <w:szCs w:val="21"/>
        </w:rPr>
        <w:t>Visualizes</w:t>
      </w:r>
      <w:proofErr w:type="spellEnd"/>
      <w:proofErr w:type="gramEnd"/>
      <w:r>
        <w:rPr>
          <w:szCs w:val="21"/>
        </w:rPr>
        <w:t xml:space="preserve"> the correlation between selected indices using a color-coded heatmap, helping to identify strong or weak relationships.</w:t>
      </w:r>
    </w:p>
    <w:p w14:paraId="4FF87242" w14:textId="77777777" w:rsidR="00D41FB8" w:rsidRDefault="00D41FB8">
      <w:pPr>
        <w:ind w:firstLine="420"/>
        <w:rPr>
          <w:szCs w:val="21"/>
        </w:rPr>
      </w:pPr>
    </w:p>
    <w:p w14:paraId="09443827" w14:textId="77777777" w:rsidR="00D41FB8" w:rsidRDefault="00000000">
      <w:pPr>
        <w:ind w:firstLine="420"/>
        <w:rPr>
          <w:szCs w:val="21"/>
        </w:rPr>
      </w:pPr>
      <w:r>
        <w:rPr>
          <w:rFonts w:hint="eastAsia"/>
          <w:szCs w:val="21"/>
        </w:rPr>
        <w:t>6.</w:t>
      </w:r>
      <w:r>
        <w:rPr>
          <w:szCs w:val="21"/>
        </w:rPr>
        <w:t xml:space="preserve">Bar </w:t>
      </w:r>
      <w:proofErr w:type="spellStart"/>
      <w:proofErr w:type="gramStart"/>
      <w:r>
        <w:rPr>
          <w:szCs w:val="21"/>
        </w:rPr>
        <w:t>Chart</w:t>
      </w:r>
      <w:r>
        <w:rPr>
          <w:rFonts w:hint="eastAsia"/>
          <w:szCs w:val="21"/>
        </w:rPr>
        <w:t>:</w:t>
      </w:r>
      <w:r>
        <w:rPr>
          <w:szCs w:val="21"/>
        </w:rPr>
        <w:t>Compares</w:t>
      </w:r>
      <w:proofErr w:type="spellEnd"/>
      <w:proofErr w:type="gramEnd"/>
      <w:r>
        <w:rPr>
          <w:szCs w:val="21"/>
        </w:rPr>
        <w:t xml:space="preserve"> the correlation of different groups of indices (e.g., Purchasing Power Index, Cost of Living Index, Property Price to Income Ratio vs. Safety Index, Cost of Living Index) with the Quality of Life Index.</w:t>
      </w:r>
    </w:p>
    <w:p w14:paraId="192AF268" w14:textId="77777777" w:rsidR="00D41FB8" w:rsidRDefault="00D41FB8">
      <w:pPr>
        <w:ind w:firstLine="420"/>
        <w:rPr>
          <w:szCs w:val="21"/>
        </w:rPr>
      </w:pPr>
    </w:p>
    <w:p w14:paraId="1FA24923" w14:textId="77777777" w:rsidR="00D41FB8" w:rsidRDefault="00000000">
      <w:pPr>
        <w:ind w:firstLine="420"/>
        <w:rPr>
          <w:szCs w:val="21"/>
        </w:rPr>
      </w:pPr>
      <w:r>
        <w:rPr>
          <w:rFonts w:hint="eastAsia"/>
          <w:szCs w:val="21"/>
        </w:rPr>
        <w:t>7.</w:t>
      </w:r>
      <w:r>
        <w:rPr>
          <w:szCs w:val="21"/>
        </w:rPr>
        <w:t xml:space="preserve">Pie </w:t>
      </w:r>
      <w:proofErr w:type="spellStart"/>
      <w:proofErr w:type="gramStart"/>
      <w:r>
        <w:rPr>
          <w:szCs w:val="21"/>
        </w:rPr>
        <w:t>Chart</w:t>
      </w:r>
      <w:r>
        <w:rPr>
          <w:rFonts w:hint="eastAsia"/>
          <w:szCs w:val="21"/>
        </w:rPr>
        <w:t>:</w:t>
      </w:r>
      <w:r>
        <w:rPr>
          <w:szCs w:val="21"/>
        </w:rPr>
        <w:t>Represents</w:t>
      </w:r>
      <w:proofErr w:type="spellEnd"/>
      <w:proofErr w:type="gramEnd"/>
      <w:r>
        <w:rPr>
          <w:szCs w:val="21"/>
        </w:rPr>
        <w:t xml:space="preserve"> the proportion of countries categorized by different levels of Quality of Life Index, Purchasing Power Index, and Pollution Index.</w:t>
      </w:r>
    </w:p>
    <w:p w14:paraId="2FDC96E3" w14:textId="77777777" w:rsidR="00D41FB8" w:rsidRDefault="00D41FB8">
      <w:pPr>
        <w:ind w:firstLine="420"/>
        <w:rPr>
          <w:szCs w:val="21"/>
        </w:rPr>
      </w:pPr>
    </w:p>
    <w:p w14:paraId="46D54719" w14:textId="0A16FDF7" w:rsidR="00D41FB8" w:rsidRDefault="00000000">
      <w:pPr>
        <w:ind w:firstLine="420"/>
        <w:rPr>
          <w:szCs w:val="21"/>
        </w:rPr>
      </w:pPr>
      <w:r>
        <w:rPr>
          <w:rFonts w:hint="eastAsia"/>
          <w:szCs w:val="21"/>
        </w:rPr>
        <w:t>8.</w:t>
      </w:r>
      <w:r>
        <w:rPr>
          <w:szCs w:val="21"/>
        </w:rPr>
        <w:t>Spearman Correlation</w:t>
      </w:r>
      <w:r w:rsidR="007B4A00">
        <w:rPr>
          <w:rFonts w:hint="eastAsia"/>
          <w:szCs w:val="21"/>
        </w:rPr>
        <w:t xml:space="preserve"> Heatmap</w:t>
      </w:r>
      <w:r>
        <w:rPr>
          <w:rFonts w:hint="eastAsia"/>
          <w:szCs w:val="21"/>
        </w:rPr>
        <w:t>:</w:t>
      </w:r>
      <w:r>
        <w:rPr>
          <w:szCs w:val="21"/>
        </w:rPr>
        <w:t xml:space="preserve"> </w:t>
      </w:r>
      <w:r w:rsidR="000E6897" w:rsidRPr="000E6897">
        <w:rPr>
          <w:szCs w:val="21"/>
        </w:rPr>
        <w:t>Some of the data in the dataset are discrete, which will have a greater impact on the Pearson correlation coefficient, and the Spearman correlation coefficient can be used to reflect the correlation more accurately</w:t>
      </w:r>
    </w:p>
    <w:p w14:paraId="27228BB4" w14:textId="77777777" w:rsidR="00006F01" w:rsidRDefault="00006F01">
      <w:pPr>
        <w:ind w:firstLine="420"/>
        <w:rPr>
          <w:szCs w:val="21"/>
        </w:rPr>
      </w:pPr>
    </w:p>
    <w:p w14:paraId="6F55F8AA" w14:textId="14CE2954" w:rsidR="00006F01" w:rsidRDefault="00006F01" w:rsidP="00006F01">
      <w:pPr>
        <w:ind w:firstLine="420"/>
        <w:rPr>
          <w:rFonts w:eastAsia="宋体"/>
          <w:szCs w:val="21"/>
        </w:rPr>
      </w:pPr>
      <w:r>
        <w:rPr>
          <w:rFonts w:hint="eastAsia"/>
          <w:szCs w:val="21"/>
        </w:rPr>
        <w:t>9.</w:t>
      </w:r>
      <w:r w:rsidRPr="00006F01">
        <w:rPr>
          <w:rFonts w:ascii="Segoe UI" w:eastAsia="Segoe UI" w:hAnsi="Segoe UI" w:cs="Segoe UI"/>
          <w:sz w:val="19"/>
          <w:szCs w:val="19"/>
          <w:shd w:val="clear" w:color="auto" w:fill="FFFFFF"/>
        </w:rPr>
        <w:t xml:space="preserve"> </w:t>
      </w:r>
      <w:r>
        <w:rPr>
          <w:rFonts w:ascii="Segoe UI" w:eastAsia="Segoe UI" w:hAnsi="Segoe UI" w:cs="Segoe UI"/>
          <w:sz w:val="19"/>
          <w:szCs w:val="19"/>
          <w:shd w:val="clear" w:color="auto" w:fill="FFFFFF"/>
        </w:rPr>
        <w:t>Parallel Coordinate Plot</w:t>
      </w:r>
      <w:r>
        <w:rPr>
          <w:rFonts w:ascii="Segoe UI" w:eastAsia="宋体" w:hAnsi="Segoe UI" w:cs="Segoe UI" w:hint="eastAsia"/>
          <w:sz w:val="19"/>
          <w:szCs w:val="19"/>
          <w:shd w:val="clear" w:color="auto" w:fill="FFFFFF"/>
        </w:rPr>
        <w:t>:</w:t>
      </w:r>
      <w:r>
        <w:rPr>
          <w:rFonts w:ascii="Segoe UI" w:eastAsia="Segoe UI" w:hAnsi="Segoe UI" w:cs="Segoe UI"/>
          <w:color w:val="1C1F23"/>
          <w:sz w:val="27"/>
          <w:szCs w:val="27"/>
          <w:shd w:val="clear" w:color="auto" w:fill="FFFFFF"/>
        </w:rPr>
        <w:t xml:space="preserve"> </w:t>
      </w:r>
      <w:r>
        <w:rPr>
          <w:rFonts w:eastAsia="Segoe UI" w:cs="Segoe UI"/>
          <w:color w:val="1C1F23"/>
          <w:szCs w:val="21"/>
          <w:shd w:val="clear" w:color="auto" w:fill="FFFFFF"/>
        </w:rPr>
        <w:t>use multiple parallel axes to represent variables, connect data points with lines, may use color - coding, and scale/position axes to show relationships between variables for different entities.</w:t>
      </w:r>
    </w:p>
    <w:p w14:paraId="3EFF8136" w14:textId="6DC1DB80" w:rsidR="00006F01" w:rsidRPr="00006F01" w:rsidRDefault="003B6FF6" w:rsidP="00121E0B">
      <w:pPr>
        <w:ind w:firstLine="420"/>
        <w:rPr>
          <w:szCs w:val="21"/>
        </w:rPr>
      </w:pPr>
      <w:r>
        <w:rPr>
          <w:rFonts w:hint="eastAsia"/>
          <w:szCs w:val="21"/>
        </w:rPr>
        <w:t>10.</w:t>
      </w:r>
      <w:r w:rsidR="00121E0B" w:rsidRPr="00121E0B">
        <w:rPr>
          <w:rFonts w:ascii="Fira Code" w:eastAsia="宋体" w:hAnsi="Fira Code" w:cs="Fira Code"/>
          <w:color w:val="50A14F"/>
          <w:spacing w:val="8"/>
          <w:szCs w:val="21"/>
          <w:bdr w:val="none" w:sz="0" w:space="0" w:color="auto" w:frame="1"/>
          <w:shd w:val="clear" w:color="auto" w:fill="FAFAFA"/>
        </w:rPr>
        <w:t xml:space="preserve"> </w:t>
      </w:r>
      <w:r w:rsidR="00121E0B" w:rsidRPr="00121E0B">
        <w:rPr>
          <w:szCs w:val="21"/>
        </w:rPr>
        <w:t>Stacked Bar Chart</w:t>
      </w:r>
      <w:r w:rsidR="00121E0B">
        <w:rPr>
          <w:rFonts w:hint="eastAsia"/>
          <w:szCs w:val="21"/>
        </w:rPr>
        <w:t xml:space="preserve">: use matplotlib and pandas and </w:t>
      </w:r>
      <w:proofErr w:type="gramStart"/>
      <w:r w:rsidR="00121E0B">
        <w:rPr>
          <w:rFonts w:hint="eastAsia"/>
          <w:szCs w:val="21"/>
        </w:rPr>
        <w:t>seaborn .s</w:t>
      </w:r>
      <w:r w:rsidR="00121E0B" w:rsidRPr="00121E0B">
        <w:rPr>
          <w:szCs w:val="21"/>
        </w:rPr>
        <w:t>tacked</w:t>
      </w:r>
      <w:proofErr w:type="gramEnd"/>
      <w:r w:rsidR="00121E0B" w:rsidRPr="00121E0B">
        <w:rPr>
          <w:szCs w:val="21"/>
        </w:rPr>
        <w:t xml:space="preserve"> bar charts can show the composition of each country's scores on different quality of life indices, making it easy to compare the scores of different countries on each index.</w:t>
      </w:r>
    </w:p>
    <w:p w14:paraId="7F155D53" w14:textId="77777777" w:rsidR="00D41FB8" w:rsidRDefault="00000000">
      <w:pPr>
        <w:rPr>
          <w:sz w:val="28"/>
          <w:szCs w:val="28"/>
        </w:rPr>
      </w:pPr>
      <w:r>
        <w:rPr>
          <w:rFonts w:hint="eastAsia"/>
          <w:sz w:val="28"/>
          <w:szCs w:val="28"/>
        </w:rPr>
        <w:t>Libraries Used:</w:t>
      </w:r>
    </w:p>
    <w:p w14:paraId="71AA31C9" w14:textId="77777777" w:rsidR="00D41FB8" w:rsidRDefault="00000000">
      <w:pPr>
        <w:rPr>
          <w:szCs w:val="21"/>
        </w:rPr>
      </w:pPr>
      <w:r>
        <w:rPr>
          <w:szCs w:val="21"/>
        </w:rPr>
        <w:t>Pandas</w:t>
      </w:r>
      <w:r>
        <w:rPr>
          <w:rFonts w:hint="eastAsia"/>
          <w:szCs w:val="21"/>
        </w:rPr>
        <w:t>,</w:t>
      </w:r>
    </w:p>
    <w:p w14:paraId="2944D6F2" w14:textId="77777777" w:rsidR="00D41FB8" w:rsidRDefault="00000000">
      <w:pPr>
        <w:rPr>
          <w:szCs w:val="21"/>
        </w:rPr>
      </w:pPr>
      <w:r>
        <w:rPr>
          <w:rFonts w:hint="eastAsia"/>
          <w:szCs w:val="21"/>
        </w:rPr>
        <w:t>matplotlib,</w:t>
      </w:r>
    </w:p>
    <w:p w14:paraId="50F6BD2E" w14:textId="77777777" w:rsidR="00D41FB8" w:rsidRDefault="00000000">
      <w:pPr>
        <w:rPr>
          <w:szCs w:val="21"/>
        </w:rPr>
      </w:pPr>
      <w:r>
        <w:rPr>
          <w:rFonts w:hint="eastAsia"/>
          <w:szCs w:val="21"/>
        </w:rPr>
        <w:t>seaborn,</w:t>
      </w:r>
    </w:p>
    <w:p w14:paraId="24C4818D" w14:textId="77777777" w:rsidR="00D41FB8" w:rsidRDefault="00000000">
      <w:pPr>
        <w:rPr>
          <w:szCs w:val="21"/>
        </w:rPr>
      </w:pPr>
      <w:proofErr w:type="spellStart"/>
      <w:r>
        <w:rPr>
          <w:rFonts w:hint="eastAsia"/>
          <w:szCs w:val="21"/>
        </w:rPr>
        <w:t>geopandas</w:t>
      </w:r>
      <w:proofErr w:type="spellEnd"/>
      <w:r>
        <w:rPr>
          <w:rFonts w:hint="eastAsia"/>
          <w:szCs w:val="21"/>
        </w:rPr>
        <w:t>,</w:t>
      </w:r>
    </w:p>
    <w:p w14:paraId="21AAD105" w14:textId="77777777" w:rsidR="00D41FB8" w:rsidRDefault="00000000">
      <w:pPr>
        <w:rPr>
          <w:szCs w:val="21"/>
        </w:rPr>
      </w:pPr>
      <w:proofErr w:type="spellStart"/>
      <w:proofErr w:type="gramStart"/>
      <w:r>
        <w:rPr>
          <w:rFonts w:hint="eastAsia"/>
          <w:szCs w:val="21"/>
        </w:rPr>
        <w:t>numpy,plotly</w:t>
      </w:r>
      <w:proofErr w:type="gramEnd"/>
      <w:r>
        <w:rPr>
          <w:rFonts w:hint="eastAsia"/>
          <w:szCs w:val="21"/>
        </w:rPr>
        <w:t>.express</w:t>
      </w:r>
      <w:proofErr w:type="spellEnd"/>
    </w:p>
    <w:p w14:paraId="45E8F898" w14:textId="77777777" w:rsidR="00006F01" w:rsidRDefault="00006F01" w:rsidP="00006F01">
      <w:pPr>
        <w:pStyle w:val="HTML"/>
        <w:widowControl/>
        <w:spacing w:line="18" w:lineRule="atLeast"/>
        <w:rPr>
          <w:rFonts w:asciiTheme="minorHAnsi" w:eastAsia="Consolas" w:hAnsiTheme="minorHAnsi" w:cs="Consolas" w:hint="default"/>
          <w:sz w:val="21"/>
          <w:szCs w:val="21"/>
        </w:rPr>
      </w:pPr>
      <w:proofErr w:type="spellStart"/>
      <w:r>
        <w:rPr>
          <w:rStyle w:val="HTML1"/>
          <w:rFonts w:asciiTheme="minorHAnsi" w:eastAsia="Consolas" w:hAnsiTheme="minorHAnsi" w:cs="Consolas" w:hint="default"/>
          <w:sz w:val="21"/>
          <w:szCs w:val="21"/>
        </w:rPr>
        <w:t>parallel_coordinates</w:t>
      </w:r>
      <w:proofErr w:type="spellEnd"/>
    </w:p>
    <w:p w14:paraId="31217BA4" w14:textId="77777777" w:rsidR="00D41FB8" w:rsidRDefault="00D41FB8">
      <w:pPr>
        <w:rPr>
          <w:szCs w:val="21"/>
        </w:rPr>
      </w:pPr>
    </w:p>
    <w:p w14:paraId="6C911FB6" w14:textId="77777777" w:rsidR="00D41FB8" w:rsidRDefault="00000000">
      <w:pPr>
        <w:rPr>
          <w:sz w:val="28"/>
          <w:szCs w:val="28"/>
        </w:rPr>
      </w:pPr>
      <w:r>
        <w:rPr>
          <w:sz w:val="28"/>
          <w:szCs w:val="28"/>
        </w:rPr>
        <w:t>Summary of results</w:t>
      </w:r>
      <w:r>
        <w:rPr>
          <w:rFonts w:hint="eastAsia"/>
          <w:sz w:val="28"/>
          <w:szCs w:val="28"/>
        </w:rPr>
        <w:t>:</w:t>
      </w:r>
    </w:p>
    <w:p w14:paraId="0271D61A" w14:textId="77777777" w:rsidR="00006F01" w:rsidRDefault="00006F01" w:rsidP="00006F01">
      <w:pPr>
        <w:rPr>
          <w:rFonts w:eastAsia="Segoe UI" w:cs="Segoe UI"/>
          <w:color w:val="1C1F23"/>
          <w:szCs w:val="21"/>
          <w:shd w:val="clear" w:color="auto" w:fill="FFFFFF"/>
        </w:rPr>
      </w:pPr>
      <w:r>
        <w:rPr>
          <w:rFonts w:hint="eastAsia"/>
          <w:szCs w:val="21"/>
        </w:rPr>
        <w:t>1.</w:t>
      </w:r>
      <w:r>
        <w:rPr>
          <w:szCs w:val="21"/>
        </w:rPr>
        <w:t>Histogram</w:t>
      </w:r>
      <w:r>
        <w:rPr>
          <w:rFonts w:eastAsia="Segoe UI" w:cs="Segoe UI"/>
          <w:color w:val="1C1F23"/>
          <w:szCs w:val="21"/>
          <w:shd w:val="clear" w:color="auto" w:fill="FFFFFF"/>
        </w:rPr>
        <w:t xml:space="preserve">: </w:t>
      </w:r>
    </w:p>
    <w:p w14:paraId="642F4AEE" w14:textId="77777777" w:rsidR="00006F01" w:rsidRDefault="00006F01" w:rsidP="00006F01">
      <w:pPr>
        <w:ind w:firstLineChars="100" w:firstLine="210"/>
        <w:rPr>
          <w:rFonts w:eastAsia="Segoe UI" w:cs="Segoe UI"/>
          <w:color w:val="1C1F23"/>
          <w:szCs w:val="21"/>
          <w:shd w:val="clear" w:color="auto" w:fill="FFFFFF"/>
        </w:rPr>
      </w:pPr>
      <w:r>
        <w:rPr>
          <w:rFonts w:eastAsia="宋体" w:cs="Segoe UI" w:hint="eastAsia"/>
          <w:color w:val="1C1F23"/>
          <w:szCs w:val="21"/>
          <w:shd w:val="clear" w:color="auto" w:fill="FFFFFF"/>
        </w:rPr>
        <w:t>(</w:t>
      </w:r>
      <w:proofErr w:type="gramStart"/>
      <w:r>
        <w:rPr>
          <w:rFonts w:eastAsia="宋体" w:cs="Segoe UI" w:hint="eastAsia"/>
          <w:color w:val="1C1F23"/>
          <w:szCs w:val="21"/>
          <w:shd w:val="clear" w:color="auto" w:fill="FFFFFF"/>
        </w:rPr>
        <w:t>1)</w:t>
      </w:r>
      <w:r>
        <w:rPr>
          <w:rFonts w:eastAsia="Segoe UI" w:cs="Segoe UI"/>
          <w:color w:val="1C1F23"/>
          <w:szCs w:val="21"/>
          <w:shd w:val="clear" w:color="auto" w:fill="FFFFFF"/>
        </w:rPr>
        <w:t>Quality</w:t>
      </w:r>
      <w:proofErr w:type="gramEnd"/>
      <w:r>
        <w:rPr>
          <w:rFonts w:eastAsia="Segoe UI" w:cs="Segoe UI"/>
          <w:color w:val="1C1F23"/>
          <w:szCs w:val="21"/>
          <w:shd w:val="clear" w:color="auto" w:fill="FFFFFF"/>
        </w:rPr>
        <w:t xml:space="preserve"> of Life Index: The quality - of - life indices of most countries are concentrated in the range of 75 - 200. Among them, the number of countries in the 100 - 125 range is the largest, approaching 17; followed by the 125 - 150 range, with approximately 16 countries. The number of countries at both ends (25 - 50 and 175 - 225) is relatively small, about 7 each. </w:t>
      </w:r>
    </w:p>
    <w:p w14:paraId="055A821B" w14:textId="77777777" w:rsidR="00006F01" w:rsidRDefault="00006F01" w:rsidP="00006F01">
      <w:pPr>
        <w:ind w:firstLineChars="100" w:firstLine="210"/>
        <w:rPr>
          <w:rFonts w:eastAsia="Segoe UI" w:cs="Segoe UI"/>
          <w:color w:val="1C1F23"/>
          <w:szCs w:val="21"/>
          <w:shd w:val="clear" w:color="auto" w:fill="FFFFFF"/>
        </w:rPr>
      </w:pPr>
      <w:r>
        <w:rPr>
          <w:rFonts w:eastAsia="宋体" w:cs="Segoe UI" w:hint="eastAsia"/>
          <w:color w:val="1C1F23"/>
          <w:szCs w:val="21"/>
          <w:shd w:val="clear" w:color="auto" w:fill="FFFFFF"/>
        </w:rPr>
        <w:t>(</w:t>
      </w:r>
      <w:proofErr w:type="gramStart"/>
      <w:r>
        <w:rPr>
          <w:rFonts w:eastAsia="宋体" w:cs="Segoe UI" w:hint="eastAsia"/>
          <w:color w:val="1C1F23"/>
          <w:szCs w:val="21"/>
          <w:shd w:val="clear" w:color="auto" w:fill="FFFFFF"/>
        </w:rPr>
        <w:t>2)</w:t>
      </w:r>
      <w:r>
        <w:rPr>
          <w:rFonts w:eastAsia="Segoe UI" w:cs="Segoe UI"/>
          <w:color w:val="1C1F23"/>
          <w:szCs w:val="21"/>
          <w:shd w:val="clear" w:color="auto" w:fill="FFFFFF"/>
        </w:rPr>
        <w:t>Purchasing</w:t>
      </w:r>
      <w:proofErr w:type="gramEnd"/>
      <w:r>
        <w:rPr>
          <w:rFonts w:eastAsia="Segoe UI" w:cs="Segoe UI"/>
          <w:color w:val="1C1F23"/>
          <w:szCs w:val="21"/>
          <w:shd w:val="clear" w:color="auto" w:fill="FFFFFF"/>
        </w:rPr>
        <w:t xml:space="preserve"> Power Index: The distribution is relatively scattered, and the data mainly concentrate in the range of 25 - 150. There are relatively more countries in the 37.5 - 75 and 75 - 100 ranges, about 9 and 10 respectively. The number of countries with an index less than 25 and greater than 150 is small, only about 3 each. </w:t>
      </w:r>
    </w:p>
    <w:p w14:paraId="7C3DF0AA" w14:textId="77777777" w:rsidR="00006F01" w:rsidRDefault="00006F01" w:rsidP="00006F01">
      <w:pPr>
        <w:ind w:firstLineChars="100" w:firstLine="210"/>
        <w:rPr>
          <w:rFonts w:eastAsia="Segoe UI" w:cs="Segoe UI"/>
          <w:color w:val="1C1F23"/>
          <w:szCs w:val="21"/>
          <w:shd w:val="clear" w:color="auto" w:fill="FFFFFF"/>
        </w:rPr>
      </w:pPr>
      <w:r>
        <w:rPr>
          <w:rFonts w:eastAsia="宋体" w:cs="Segoe UI" w:hint="eastAsia"/>
          <w:color w:val="1C1F23"/>
          <w:szCs w:val="21"/>
          <w:shd w:val="clear" w:color="auto" w:fill="FFFFFF"/>
        </w:rPr>
        <w:t>(</w:t>
      </w:r>
      <w:proofErr w:type="gramStart"/>
      <w:r>
        <w:rPr>
          <w:rFonts w:eastAsia="宋体" w:cs="Segoe UI" w:hint="eastAsia"/>
          <w:color w:val="1C1F23"/>
          <w:szCs w:val="21"/>
          <w:shd w:val="clear" w:color="auto" w:fill="FFFFFF"/>
        </w:rPr>
        <w:t>3)</w:t>
      </w:r>
      <w:r>
        <w:rPr>
          <w:rFonts w:eastAsia="Segoe UI" w:cs="Segoe UI"/>
          <w:color w:val="1C1F23"/>
          <w:szCs w:val="21"/>
          <w:shd w:val="clear" w:color="auto" w:fill="FFFFFF"/>
        </w:rPr>
        <w:t>Safety</w:t>
      </w:r>
      <w:proofErr w:type="gramEnd"/>
      <w:r>
        <w:rPr>
          <w:rFonts w:eastAsia="Segoe UI" w:cs="Segoe UI"/>
          <w:color w:val="1C1F23"/>
          <w:szCs w:val="21"/>
          <w:shd w:val="clear" w:color="auto" w:fill="FFFFFF"/>
        </w:rPr>
        <w:t xml:space="preserve"> Index: The safety indices of most countries are concentrated in the range of 30 - 70. The number of countries in the 40 - 50 range is the largest, about 20; followed by the 50 - 60 range, with approximately 16 countries. The number of countries with a safety index less than 30 and greater than 70 is small, about 2 and 5 respectively. </w:t>
      </w:r>
    </w:p>
    <w:p w14:paraId="6F46A610" w14:textId="77777777" w:rsidR="00006F01" w:rsidRDefault="00006F01" w:rsidP="00006F01">
      <w:pPr>
        <w:ind w:firstLineChars="100" w:firstLine="210"/>
        <w:rPr>
          <w:rFonts w:eastAsia="Segoe UI" w:cs="Segoe UI"/>
          <w:color w:val="1C1F23"/>
          <w:szCs w:val="21"/>
          <w:shd w:val="clear" w:color="auto" w:fill="FFFFFF"/>
        </w:rPr>
      </w:pPr>
    </w:p>
    <w:p w14:paraId="045D9AD8" w14:textId="77777777" w:rsidR="00006F01" w:rsidRDefault="00006F01" w:rsidP="00006F01">
      <w:pPr>
        <w:rPr>
          <w:szCs w:val="21"/>
        </w:rPr>
      </w:pPr>
      <w:r>
        <w:rPr>
          <w:rFonts w:eastAsia="宋体" w:cs="Segoe UI" w:hint="eastAsia"/>
          <w:color w:val="1C1F23"/>
          <w:szCs w:val="21"/>
          <w:shd w:val="clear" w:color="auto" w:fill="FFFFFF"/>
        </w:rPr>
        <w:t>2.</w:t>
      </w:r>
      <w:r>
        <w:rPr>
          <w:szCs w:val="21"/>
        </w:rPr>
        <w:t>Box Plot</w:t>
      </w:r>
      <w:r>
        <w:rPr>
          <w:rFonts w:hint="eastAsia"/>
          <w:szCs w:val="21"/>
        </w:rPr>
        <w:t>:</w:t>
      </w:r>
    </w:p>
    <w:p w14:paraId="1609FAA8" w14:textId="77777777" w:rsidR="00006F01" w:rsidRDefault="00006F01" w:rsidP="00006F01">
      <w:pPr>
        <w:jc w:val="left"/>
        <w:rPr>
          <w:rFonts w:eastAsia="Segoe UI" w:cs="Segoe UI"/>
          <w:color w:val="1C1F23"/>
          <w:szCs w:val="21"/>
          <w:shd w:val="clear" w:color="auto" w:fill="FFFFFF"/>
        </w:rPr>
      </w:pPr>
      <w:r>
        <w:rPr>
          <w:rFonts w:hint="eastAsia"/>
        </w:rPr>
        <w:t xml:space="preserve"> </w:t>
      </w:r>
      <w:r>
        <w:rPr>
          <w:rFonts w:eastAsia="Segoe UI" w:cs="Segoe UI"/>
          <w:color w:val="1C1F23"/>
          <w:szCs w:val="21"/>
          <w:shd w:val="clear" w:color="auto" w:fill="FFFFFF"/>
        </w:rPr>
        <w:t xml:space="preserve">In this multi-index box plot, the median of the Climate Index is the highest, indicating that the climate conditions in most countries are relatively good and the differences are small. The median of the Property Price to Income Ratio is the lowest, with a large degree of dispersion and many outliers, showing significant differences among different countries, which are influenced by factors such as economic models and policies. The overall values of the Health Care Index and the Pollution Index are high. The long whisker of the Health Care Index reflects large differences in the levels of some countries, while the Pollution Index indicates that pollution is widespread globally. The </w:t>
      </w:r>
      <w:proofErr w:type="gramStart"/>
      <w:r>
        <w:rPr>
          <w:rFonts w:eastAsia="Segoe UI" w:cs="Segoe UI"/>
          <w:color w:val="1C1F23"/>
          <w:szCs w:val="21"/>
          <w:shd w:val="clear" w:color="auto" w:fill="FFFFFF"/>
        </w:rPr>
        <w:t>Cost of Living</w:t>
      </w:r>
      <w:proofErr w:type="gramEnd"/>
      <w:r>
        <w:rPr>
          <w:rFonts w:eastAsia="Segoe UI" w:cs="Segoe UI"/>
          <w:color w:val="1C1F23"/>
          <w:szCs w:val="21"/>
          <w:shd w:val="clear" w:color="auto" w:fill="FFFFFF"/>
        </w:rPr>
        <w:t xml:space="preserve"> Index is at a medium level, with fluctuations in different countries affected by various factors. The wide box of the Traffic Commute Time Index shows obvious differences in the commuting times of residents in different countries.</w:t>
      </w:r>
    </w:p>
    <w:p w14:paraId="17E1BCA0" w14:textId="77777777" w:rsidR="00006F01" w:rsidRDefault="00006F01" w:rsidP="00006F01">
      <w:pPr>
        <w:jc w:val="left"/>
        <w:rPr>
          <w:rFonts w:eastAsia="Segoe UI" w:cs="Segoe UI"/>
          <w:color w:val="1C1F23"/>
          <w:szCs w:val="21"/>
          <w:shd w:val="clear" w:color="auto" w:fill="FFFFFF"/>
        </w:rPr>
      </w:pPr>
    </w:p>
    <w:p w14:paraId="4A0E0570" w14:textId="77777777" w:rsidR="00006F01" w:rsidRDefault="00006F01" w:rsidP="00006F01">
      <w:pPr>
        <w:jc w:val="left"/>
        <w:rPr>
          <w:szCs w:val="21"/>
        </w:rPr>
      </w:pPr>
      <w:r>
        <w:rPr>
          <w:rFonts w:hint="eastAsia"/>
          <w:szCs w:val="21"/>
        </w:rPr>
        <w:lastRenderedPageBreak/>
        <w:t>3.</w:t>
      </w:r>
      <w:r>
        <w:rPr>
          <w:szCs w:val="21"/>
        </w:rPr>
        <w:t>Choropleth Map</w:t>
      </w:r>
      <w:r>
        <w:rPr>
          <w:rFonts w:hint="eastAsia"/>
          <w:szCs w:val="21"/>
        </w:rPr>
        <w:t>:</w:t>
      </w:r>
    </w:p>
    <w:p w14:paraId="16F38630" w14:textId="77777777" w:rsidR="00006F01" w:rsidRDefault="00006F01" w:rsidP="00006F01">
      <w:pPr>
        <w:jc w:val="left"/>
        <w:rPr>
          <w:rFonts w:cs="Segoe UI"/>
          <w:color w:val="1C1F23"/>
          <w:szCs w:val="21"/>
          <w:shd w:val="clear" w:color="auto" w:fill="FFFFFF"/>
        </w:rPr>
      </w:pPr>
      <w:r>
        <w:rPr>
          <w:rFonts w:hint="eastAsia"/>
          <w:szCs w:val="21"/>
        </w:rPr>
        <w:t xml:space="preserve">  </w:t>
      </w:r>
      <w:r>
        <w:rPr>
          <w:rFonts w:eastAsia="Segoe UI" w:cs="Segoe UI"/>
          <w:color w:val="1C1F23"/>
          <w:szCs w:val="21"/>
          <w:shd w:val="clear" w:color="auto" w:fill="FFFFFF"/>
        </w:rPr>
        <w:t xml:space="preserve">This "Global Quality of Life Index" heatmap intuitively displays the quality - of - life indices of different countries through color intensity. In the dark red areas, such as some European countries, Australia, and Canada, the quality - of - life index exceeds 175, indicating that these countries excel in economic development, social welfare, infrastructure construction, etc., and can provide residents with a high - quality life. The areas ranging from orange to light orange, including some countries in Asia and South America, have an index between 75 and 175, suggesting that the quality of life in these countries is at a medium level. They have made certain progress in various aspects, but there is still room for improvement compared with countries with high indices. The </w:t>
      </w:r>
      <w:proofErr w:type="gramStart"/>
      <w:r>
        <w:rPr>
          <w:rFonts w:eastAsia="Segoe UI" w:cs="Segoe UI"/>
          <w:color w:val="1C1F23"/>
          <w:szCs w:val="21"/>
          <w:shd w:val="clear" w:color="auto" w:fill="FFFFFF"/>
        </w:rPr>
        <w:t>light yellow</w:t>
      </w:r>
      <w:proofErr w:type="gramEnd"/>
      <w:r>
        <w:rPr>
          <w:rFonts w:eastAsia="Segoe UI" w:cs="Segoe UI"/>
          <w:color w:val="1C1F23"/>
          <w:szCs w:val="21"/>
          <w:shd w:val="clear" w:color="auto" w:fill="FFFFFF"/>
        </w:rPr>
        <w:t xml:space="preserve"> areas are relatively few, and the gray areas represent missing data, indicating that the quality - of - life indices of most of the surveyed countries are above a certain level. For countries with missing data, it is difficult to measure their quality of life due to statistical difficulties or other factors.</w:t>
      </w:r>
    </w:p>
    <w:p w14:paraId="53EF25BA" w14:textId="77777777" w:rsidR="0017368C" w:rsidRPr="0017368C" w:rsidRDefault="0017368C" w:rsidP="00006F01">
      <w:pPr>
        <w:jc w:val="left"/>
        <w:rPr>
          <w:rFonts w:cs="Segoe UI"/>
          <w:color w:val="1C1F23"/>
          <w:szCs w:val="21"/>
          <w:shd w:val="clear" w:color="auto" w:fill="FFFFFF"/>
        </w:rPr>
      </w:pPr>
    </w:p>
    <w:p w14:paraId="5D4D00B8" w14:textId="75766E84" w:rsidR="0017368C" w:rsidRDefault="0017368C" w:rsidP="00006F01">
      <w:pPr>
        <w:jc w:val="left"/>
        <w:rPr>
          <w:rFonts w:cs="Segoe UI"/>
          <w:color w:val="1C1F23"/>
          <w:szCs w:val="21"/>
          <w:shd w:val="clear" w:color="auto" w:fill="FFFFFF"/>
        </w:rPr>
      </w:pPr>
      <w:r>
        <w:rPr>
          <w:rFonts w:cs="Segoe UI" w:hint="eastAsia"/>
          <w:color w:val="1C1F23"/>
          <w:szCs w:val="21"/>
          <w:shd w:val="clear" w:color="auto" w:fill="FFFFFF"/>
        </w:rPr>
        <w:t>4 and 5</w:t>
      </w:r>
      <w:r w:rsidR="003B6FF6" w:rsidRPr="003B6FF6">
        <w:rPr>
          <w:szCs w:val="21"/>
        </w:rPr>
        <w:t xml:space="preserve"> </w:t>
      </w:r>
      <w:r w:rsidR="003B6FF6">
        <w:rPr>
          <w:rFonts w:cs="Segoe UI" w:hint="eastAsia"/>
          <w:color w:val="1C1F23"/>
          <w:szCs w:val="21"/>
          <w:shd w:val="clear" w:color="auto" w:fill="FFFFFF"/>
        </w:rPr>
        <w:t>(</w:t>
      </w:r>
      <w:proofErr w:type="spellStart"/>
      <w:r w:rsidR="003B6FF6">
        <w:rPr>
          <w:szCs w:val="21"/>
        </w:rPr>
        <w:t>Pairplot</w:t>
      </w:r>
      <w:proofErr w:type="spellEnd"/>
      <w:proofErr w:type="gramStart"/>
      <w:r w:rsidR="003B6FF6">
        <w:rPr>
          <w:rFonts w:hint="eastAsia"/>
          <w:szCs w:val="21"/>
        </w:rPr>
        <w:t>,</w:t>
      </w:r>
      <w:r w:rsidR="003B6FF6" w:rsidRPr="003B6FF6">
        <w:rPr>
          <w:rFonts w:hint="eastAsia"/>
          <w:szCs w:val="21"/>
        </w:rPr>
        <w:t xml:space="preserve"> </w:t>
      </w:r>
      <w:r w:rsidR="003B6FF6">
        <w:rPr>
          <w:rFonts w:hint="eastAsia"/>
          <w:szCs w:val="21"/>
        </w:rPr>
        <w:t>.</w:t>
      </w:r>
      <w:r w:rsidR="003B6FF6">
        <w:rPr>
          <w:szCs w:val="21"/>
        </w:rPr>
        <w:t>Correlation</w:t>
      </w:r>
      <w:proofErr w:type="gramEnd"/>
      <w:r w:rsidR="003B6FF6">
        <w:rPr>
          <w:szCs w:val="21"/>
        </w:rPr>
        <w:t xml:space="preserve"> Heatmap</w:t>
      </w:r>
      <w:r w:rsidR="003B6FF6">
        <w:rPr>
          <w:rFonts w:cs="Segoe UI" w:hint="eastAsia"/>
          <w:color w:val="1C1F23"/>
          <w:szCs w:val="21"/>
          <w:shd w:val="clear" w:color="auto" w:fill="FFFFFF"/>
        </w:rPr>
        <w:t>)</w:t>
      </w:r>
      <w:r>
        <w:rPr>
          <w:rFonts w:cs="Segoe UI" w:hint="eastAsia"/>
          <w:color w:val="1C1F23"/>
          <w:szCs w:val="21"/>
          <w:shd w:val="clear" w:color="auto" w:fill="FFFFFF"/>
        </w:rPr>
        <w:t>:</w:t>
      </w:r>
    </w:p>
    <w:p w14:paraId="6C160409" w14:textId="77777777" w:rsidR="003B6FF6" w:rsidRDefault="003B6FF6" w:rsidP="00006F01">
      <w:pPr>
        <w:jc w:val="left"/>
        <w:rPr>
          <w:rFonts w:cs="Segoe UI"/>
          <w:color w:val="1C1F23"/>
          <w:szCs w:val="21"/>
          <w:shd w:val="clear" w:color="auto" w:fill="FFFFFF"/>
        </w:rPr>
      </w:pPr>
      <w:r w:rsidRPr="003B6FF6">
        <w:rPr>
          <w:rFonts w:cs="Segoe UI"/>
          <w:color w:val="1C1F23"/>
          <w:szCs w:val="21"/>
          <w:shd w:val="clear" w:color="auto" w:fill="FFFFFF"/>
        </w:rPr>
        <w:t xml:space="preserve">The correlation between Traffic Commute Time Index and Pollution Index is 0.54, showing a moderate positive correlation. </w:t>
      </w:r>
    </w:p>
    <w:p w14:paraId="2B3B6788" w14:textId="77777777" w:rsidR="003B6FF6" w:rsidRDefault="003B6FF6" w:rsidP="00006F01">
      <w:pPr>
        <w:jc w:val="left"/>
        <w:rPr>
          <w:rFonts w:cs="Segoe UI"/>
          <w:color w:val="1C1F23"/>
          <w:szCs w:val="21"/>
          <w:shd w:val="clear" w:color="auto" w:fill="FFFFFF"/>
        </w:rPr>
      </w:pPr>
      <w:r w:rsidRPr="003B6FF6">
        <w:rPr>
          <w:rFonts w:cs="Segoe UI"/>
          <w:color w:val="1C1F23"/>
          <w:szCs w:val="21"/>
          <w:shd w:val="clear" w:color="auto" w:fill="FFFFFF"/>
        </w:rPr>
        <w:t xml:space="preserve">The correlation between Traffic Commute Time Index and Climate Index is 0.07, indicating a very weak correlation. </w:t>
      </w:r>
    </w:p>
    <w:p w14:paraId="1DCB0DED" w14:textId="09DEB8F8" w:rsidR="003B6FF6" w:rsidRDefault="003B6FF6" w:rsidP="00006F01">
      <w:pPr>
        <w:jc w:val="left"/>
        <w:rPr>
          <w:rFonts w:cs="Segoe UI"/>
          <w:color w:val="1C1F23"/>
          <w:szCs w:val="21"/>
          <w:shd w:val="clear" w:color="auto" w:fill="FFFFFF"/>
        </w:rPr>
      </w:pPr>
      <w:r w:rsidRPr="003B6FF6">
        <w:rPr>
          <w:rFonts w:cs="Segoe UI"/>
          <w:color w:val="1C1F23"/>
          <w:szCs w:val="21"/>
          <w:shd w:val="clear" w:color="auto" w:fill="FFFFFF"/>
        </w:rPr>
        <w:t>The correlation between Pollution Index and Climate Index is 0.00, showing no correlation.</w:t>
      </w:r>
    </w:p>
    <w:p w14:paraId="589955A6" w14:textId="77777777" w:rsidR="003B6FF6" w:rsidRPr="003B6FF6" w:rsidRDefault="003B6FF6" w:rsidP="00006F01">
      <w:pPr>
        <w:jc w:val="left"/>
        <w:rPr>
          <w:rFonts w:cs="Segoe UI"/>
          <w:color w:val="1C1F23"/>
          <w:szCs w:val="21"/>
          <w:shd w:val="clear" w:color="auto" w:fill="FFFFFF"/>
        </w:rPr>
      </w:pPr>
    </w:p>
    <w:p w14:paraId="6C7CD013" w14:textId="77777777" w:rsidR="00024D93" w:rsidRDefault="00024D93">
      <w:pPr>
        <w:rPr>
          <w:szCs w:val="21"/>
        </w:rPr>
      </w:pPr>
      <w:r>
        <w:rPr>
          <w:rFonts w:hint="eastAsia"/>
          <w:szCs w:val="21"/>
        </w:rPr>
        <w:t>6.</w:t>
      </w:r>
      <w:r>
        <w:rPr>
          <w:szCs w:val="21"/>
        </w:rPr>
        <w:t>Bar Chart</w:t>
      </w:r>
      <w:r>
        <w:rPr>
          <w:rFonts w:hint="eastAsia"/>
          <w:szCs w:val="21"/>
        </w:rPr>
        <w:t>:</w:t>
      </w:r>
    </w:p>
    <w:p w14:paraId="6D58CCD7" w14:textId="77777777" w:rsidR="00024D93" w:rsidRPr="00024D93" w:rsidRDefault="00024D93" w:rsidP="006C6F44">
      <w:pPr>
        <w:ind w:left="420" w:firstLine="420"/>
        <w:rPr>
          <w:szCs w:val="21"/>
        </w:rPr>
      </w:pPr>
      <w:r w:rsidRPr="00024D93">
        <w:rPr>
          <w:szCs w:val="21"/>
        </w:rPr>
        <w:t xml:space="preserve">The left bar chart indicates a strong positive correlation between both the Purchasing Power Index and Cost of Living Index with the </w:t>
      </w:r>
      <w:proofErr w:type="gramStart"/>
      <w:r w:rsidRPr="00024D93">
        <w:rPr>
          <w:szCs w:val="21"/>
        </w:rPr>
        <w:t>Quality of Life</w:t>
      </w:r>
      <w:proofErr w:type="gramEnd"/>
      <w:r w:rsidRPr="00024D93">
        <w:rPr>
          <w:szCs w:val="21"/>
        </w:rPr>
        <w:t xml:space="preserve"> Index, while the Property Price to Income Ratio shows a strong negative correlation.</w:t>
      </w:r>
    </w:p>
    <w:p w14:paraId="02B74DCB" w14:textId="77777777" w:rsidR="00024D93" w:rsidRPr="00024D93" w:rsidRDefault="00024D93" w:rsidP="006C6F44">
      <w:pPr>
        <w:ind w:left="420" w:firstLine="420"/>
        <w:rPr>
          <w:szCs w:val="21"/>
        </w:rPr>
      </w:pPr>
      <w:r w:rsidRPr="00024D93">
        <w:rPr>
          <w:szCs w:val="21"/>
        </w:rPr>
        <w:t xml:space="preserve">On the right, the Safety Index is moderately positively correlated with the </w:t>
      </w:r>
      <w:proofErr w:type="gramStart"/>
      <w:r w:rsidRPr="00024D93">
        <w:rPr>
          <w:szCs w:val="21"/>
        </w:rPr>
        <w:t>Quality of Life</w:t>
      </w:r>
      <w:proofErr w:type="gramEnd"/>
      <w:r w:rsidRPr="00024D93">
        <w:rPr>
          <w:szCs w:val="21"/>
        </w:rPr>
        <w:t xml:space="preserve"> Index, and the Cost of Living Index again demonstrates a strong positive correlation.</w:t>
      </w:r>
    </w:p>
    <w:p w14:paraId="4D30179F" w14:textId="77777777" w:rsidR="00024D93" w:rsidRPr="00024D93" w:rsidRDefault="00024D93" w:rsidP="006C6F44">
      <w:pPr>
        <w:ind w:left="420" w:firstLine="420"/>
        <w:rPr>
          <w:szCs w:val="21"/>
        </w:rPr>
      </w:pPr>
      <w:r w:rsidRPr="00024D93">
        <w:rPr>
          <w:szCs w:val="21"/>
        </w:rPr>
        <w:t>In conclusion, a higher purchasing power and lower relative property prices are associated with a better quality of life, whereas higher costs of living and safety concerns have a positive, though less strong, relationship with quality of life.</w:t>
      </w:r>
    </w:p>
    <w:p w14:paraId="0F7EA26E" w14:textId="77777777" w:rsidR="00024D93" w:rsidRDefault="00024D93">
      <w:pPr>
        <w:rPr>
          <w:szCs w:val="21"/>
        </w:rPr>
      </w:pPr>
    </w:p>
    <w:p w14:paraId="167A80DB" w14:textId="168AF8F0" w:rsidR="00D41FB8" w:rsidRDefault="00006F01">
      <w:pPr>
        <w:rPr>
          <w:szCs w:val="21"/>
        </w:rPr>
      </w:pPr>
      <w:r>
        <w:rPr>
          <w:rFonts w:hint="eastAsia"/>
          <w:szCs w:val="21"/>
        </w:rPr>
        <w:t>7.</w:t>
      </w:r>
      <w:r>
        <w:rPr>
          <w:szCs w:val="21"/>
        </w:rPr>
        <w:t>Pie Chart</w:t>
      </w:r>
      <w:r>
        <w:rPr>
          <w:rFonts w:hint="eastAsia"/>
          <w:szCs w:val="21"/>
        </w:rPr>
        <w:t>:</w:t>
      </w:r>
    </w:p>
    <w:p w14:paraId="14AACF87" w14:textId="1A11D1F1" w:rsidR="00006F01" w:rsidRPr="00006F01" w:rsidRDefault="00006F01" w:rsidP="00024D93">
      <w:pPr>
        <w:ind w:firstLineChars="100" w:firstLine="210"/>
        <w:rPr>
          <w:rFonts w:eastAsia="Segoe UI" w:cs="Segoe UI"/>
          <w:color w:val="1C1F23"/>
          <w:szCs w:val="21"/>
          <w:shd w:val="clear" w:color="auto" w:fill="FFFFFF"/>
        </w:rPr>
      </w:pPr>
      <w:r w:rsidRPr="00006F01">
        <w:rPr>
          <w:rFonts w:eastAsia="Segoe UI" w:cs="Segoe UI"/>
          <w:color w:val="1C1F23"/>
          <w:szCs w:val="21"/>
          <w:shd w:val="clear" w:color="auto" w:fill="FFFFFF"/>
        </w:rPr>
        <w:t>Quality of Life Index Distribution</w:t>
      </w:r>
    </w:p>
    <w:p w14:paraId="77E82C9B" w14:textId="77777777" w:rsidR="00006F01" w:rsidRPr="00006F01" w:rsidRDefault="00006F01" w:rsidP="00006F01">
      <w:pPr>
        <w:ind w:left="720"/>
        <w:rPr>
          <w:rFonts w:eastAsia="Segoe UI" w:cs="Segoe UI"/>
          <w:color w:val="1C1F23"/>
          <w:szCs w:val="21"/>
          <w:shd w:val="clear" w:color="auto" w:fill="FFFFFF"/>
        </w:rPr>
      </w:pPr>
      <w:r w:rsidRPr="00006F01">
        <w:rPr>
          <w:rFonts w:eastAsia="Segoe UI" w:cs="Segoe UI"/>
          <w:color w:val="1C1F23"/>
          <w:szCs w:val="21"/>
          <w:shd w:val="clear" w:color="auto" w:fill="FFFFFF"/>
        </w:rPr>
        <w:t>High (≥180): 20.5% of countries fall into this category, indicating excellent quality of life.</w:t>
      </w:r>
    </w:p>
    <w:p w14:paraId="210429DA" w14:textId="77777777" w:rsidR="00006F01" w:rsidRPr="00006F01" w:rsidRDefault="00006F01" w:rsidP="00006F01">
      <w:pPr>
        <w:ind w:left="720"/>
        <w:rPr>
          <w:rFonts w:eastAsia="Segoe UI" w:cs="Segoe UI"/>
          <w:color w:val="1C1F23"/>
          <w:szCs w:val="21"/>
          <w:shd w:val="clear" w:color="auto" w:fill="FFFFFF"/>
        </w:rPr>
      </w:pPr>
      <w:r w:rsidRPr="00006F01">
        <w:rPr>
          <w:rFonts w:eastAsia="Segoe UI" w:cs="Segoe UI"/>
          <w:color w:val="1C1F23"/>
          <w:szCs w:val="21"/>
          <w:shd w:val="clear" w:color="auto" w:fill="FFFFFF"/>
        </w:rPr>
        <w:t>Upper-Middle (150-179): 25% of countries are in this bracket, signifying a high but not the highest quality of life.</w:t>
      </w:r>
    </w:p>
    <w:p w14:paraId="37C64745" w14:textId="77777777" w:rsidR="00006F01" w:rsidRPr="00006F01" w:rsidRDefault="00006F01" w:rsidP="00006F01">
      <w:pPr>
        <w:ind w:left="720"/>
        <w:rPr>
          <w:rFonts w:eastAsia="Segoe UI" w:cs="Segoe UI"/>
          <w:color w:val="1C1F23"/>
          <w:szCs w:val="21"/>
          <w:shd w:val="clear" w:color="auto" w:fill="FFFFFF"/>
        </w:rPr>
      </w:pPr>
      <w:r w:rsidRPr="00006F01">
        <w:rPr>
          <w:rFonts w:eastAsia="Segoe UI" w:cs="Segoe UI"/>
          <w:color w:val="1C1F23"/>
          <w:szCs w:val="21"/>
          <w:shd w:val="clear" w:color="auto" w:fill="FFFFFF"/>
        </w:rPr>
        <w:t>Middle (120-149): Another 25% of countries are categorized here, representing a moderate level of quality of life.</w:t>
      </w:r>
    </w:p>
    <w:p w14:paraId="4CA8E8F3" w14:textId="77777777" w:rsidR="00006F01" w:rsidRPr="00006F01" w:rsidRDefault="00006F01" w:rsidP="00006F01">
      <w:pPr>
        <w:ind w:left="720"/>
        <w:rPr>
          <w:rFonts w:eastAsia="Segoe UI" w:cs="Segoe UI"/>
          <w:color w:val="1C1F23"/>
          <w:szCs w:val="21"/>
          <w:shd w:val="clear" w:color="auto" w:fill="FFFFFF"/>
        </w:rPr>
      </w:pPr>
      <w:r w:rsidRPr="00006F01">
        <w:rPr>
          <w:rFonts w:eastAsia="Segoe UI" w:cs="Segoe UI"/>
          <w:color w:val="1C1F23"/>
          <w:szCs w:val="21"/>
          <w:shd w:val="clear" w:color="auto" w:fill="FFFFFF"/>
        </w:rPr>
        <w:t>Lower-Middle (90-119): 21.6% of countries are in this range, indicating a slightly below moderate quality of life.</w:t>
      </w:r>
    </w:p>
    <w:p w14:paraId="06FD85AD" w14:textId="77777777" w:rsidR="00006F01" w:rsidRPr="00006F01" w:rsidRDefault="00006F01" w:rsidP="00006F01">
      <w:pPr>
        <w:ind w:left="720"/>
        <w:rPr>
          <w:rFonts w:eastAsia="Segoe UI" w:cs="Segoe UI"/>
          <w:color w:val="1C1F23"/>
          <w:szCs w:val="21"/>
          <w:shd w:val="clear" w:color="auto" w:fill="FFFFFF"/>
        </w:rPr>
      </w:pPr>
      <w:r w:rsidRPr="00006F01">
        <w:rPr>
          <w:rFonts w:eastAsia="Segoe UI" w:cs="Segoe UI"/>
          <w:color w:val="1C1F23"/>
          <w:szCs w:val="21"/>
          <w:shd w:val="clear" w:color="auto" w:fill="FFFFFF"/>
        </w:rPr>
        <w:t>Low (&lt;90): 7.95% of countries are in this category, reflecting a lower quality of life.</w:t>
      </w:r>
    </w:p>
    <w:p w14:paraId="46FDF7B1" w14:textId="09AF02F9" w:rsidR="00006F01" w:rsidRPr="00006F01" w:rsidRDefault="00006F01" w:rsidP="00024D93">
      <w:pPr>
        <w:ind w:firstLineChars="100" w:firstLine="210"/>
        <w:rPr>
          <w:rFonts w:eastAsia="Segoe UI" w:cs="Segoe UI"/>
          <w:color w:val="1C1F23"/>
          <w:szCs w:val="21"/>
          <w:shd w:val="clear" w:color="auto" w:fill="FFFFFF"/>
        </w:rPr>
      </w:pPr>
      <w:r w:rsidRPr="00006F01">
        <w:rPr>
          <w:rFonts w:eastAsia="Segoe UI" w:cs="Segoe UI"/>
          <w:color w:val="1C1F23"/>
          <w:szCs w:val="21"/>
          <w:shd w:val="clear" w:color="auto" w:fill="FFFFFF"/>
        </w:rPr>
        <w:t>Purchasing Power Index Distribution</w:t>
      </w:r>
    </w:p>
    <w:p w14:paraId="181423D6" w14:textId="77777777" w:rsidR="00006F01" w:rsidRPr="00006F01" w:rsidRDefault="00006F01" w:rsidP="00006F01">
      <w:pPr>
        <w:ind w:left="720"/>
        <w:rPr>
          <w:rFonts w:eastAsia="Segoe UI" w:cs="Segoe UI"/>
          <w:color w:val="1C1F23"/>
          <w:szCs w:val="21"/>
          <w:shd w:val="clear" w:color="auto" w:fill="FFFFFF"/>
        </w:rPr>
      </w:pPr>
      <w:r w:rsidRPr="00006F01">
        <w:rPr>
          <w:rFonts w:eastAsia="Segoe UI" w:cs="Segoe UI"/>
          <w:color w:val="1C1F23"/>
          <w:szCs w:val="21"/>
          <w:shd w:val="clear" w:color="auto" w:fill="FFFFFF"/>
        </w:rPr>
        <w:t>Low (&lt;60): 40.9% of countries are in this category, indicating lower purchasing power.</w:t>
      </w:r>
    </w:p>
    <w:p w14:paraId="57AF76BF" w14:textId="77777777" w:rsidR="00006F01" w:rsidRPr="00006F01" w:rsidRDefault="00006F01" w:rsidP="00006F01">
      <w:pPr>
        <w:ind w:left="720"/>
        <w:rPr>
          <w:rFonts w:eastAsia="Segoe UI" w:cs="Segoe UI"/>
          <w:color w:val="1C1F23"/>
          <w:szCs w:val="21"/>
          <w:shd w:val="clear" w:color="auto" w:fill="FFFFFF"/>
        </w:rPr>
      </w:pPr>
      <w:r w:rsidRPr="00006F01">
        <w:rPr>
          <w:rFonts w:eastAsia="Segoe UI" w:cs="Segoe UI"/>
          <w:color w:val="1C1F23"/>
          <w:szCs w:val="21"/>
          <w:shd w:val="clear" w:color="auto" w:fill="FFFFFF"/>
        </w:rPr>
        <w:t xml:space="preserve">Lower-Middle (60-89): 21.6% of countries fall into this range, showing slightly higher </w:t>
      </w:r>
      <w:r w:rsidRPr="00006F01">
        <w:rPr>
          <w:rFonts w:eastAsia="Segoe UI" w:cs="Segoe UI"/>
          <w:color w:val="1C1F23"/>
          <w:szCs w:val="21"/>
          <w:shd w:val="clear" w:color="auto" w:fill="FFFFFF"/>
        </w:rPr>
        <w:lastRenderedPageBreak/>
        <w:t>purchasing power than the low category.</w:t>
      </w:r>
    </w:p>
    <w:p w14:paraId="016B6B76" w14:textId="77777777" w:rsidR="00006F01" w:rsidRPr="00006F01" w:rsidRDefault="00006F01" w:rsidP="00006F01">
      <w:pPr>
        <w:ind w:left="720"/>
        <w:rPr>
          <w:rFonts w:eastAsia="Segoe UI" w:cs="Segoe UI"/>
          <w:color w:val="1C1F23"/>
          <w:szCs w:val="21"/>
          <w:shd w:val="clear" w:color="auto" w:fill="FFFFFF"/>
        </w:rPr>
      </w:pPr>
      <w:r w:rsidRPr="00006F01">
        <w:rPr>
          <w:rFonts w:eastAsia="Segoe UI" w:cs="Segoe UI"/>
          <w:color w:val="1C1F23"/>
          <w:szCs w:val="21"/>
          <w:shd w:val="clear" w:color="auto" w:fill="FFFFFF"/>
        </w:rPr>
        <w:t>Middle (90-119): 15.9% of countries are in this bracket, representing a moderate level of purchasing power.</w:t>
      </w:r>
    </w:p>
    <w:p w14:paraId="11063AD4" w14:textId="77777777" w:rsidR="00006F01" w:rsidRPr="00006F01" w:rsidRDefault="00006F01" w:rsidP="00006F01">
      <w:pPr>
        <w:ind w:left="720"/>
        <w:rPr>
          <w:rFonts w:eastAsia="Segoe UI" w:cs="Segoe UI"/>
          <w:color w:val="1C1F23"/>
          <w:szCs w:val="21"/>
          <w:shd w:val="clear" w:color="auto" w:fill="FFFFFF"/>
        </w:rPr>
      </w:pPr>
      <w:r w:rsidRPr="00006F01">
        <w:rPr>
          <w:rFonts w:eastAsia="Segoe UI" w:cs="Segoe UI"/>
          <w:color w:val="1C1F23"/>
          <w:szCs w:val="21"/>
          <w:shd w:val="clear" w:color="auto" w:fill="FFFFFF"/>
        </w:rPr>
        <w:t>Upper-Middle (120-149): 14.8% of countries are in this category, indicating higher purchasing power, though not the highest.</w:t>
      </w:r>
    </w:p>
    <w:p w14:paraId="370B89E5" w14:textId="77777777" w:rsidR="00006F01" w:rsidRPr="00006F01" w:rsidRDefault="00006F01" w:rsidP="00006F01">
      <w:pPr>
        <w:ind w:left="720"/>
        <w:rPr>
          <w:rFonts w:eastAsia="Segoe UI" w:cs="Segoe UI"/>
          <w:color w:val="1C1F23"/>
          <w:szCs w:val="21"/>
          <w:shd w:val="clear" w:color="auto" w:fill="FFFFFF"/>
        </w:rPr>
      </w:pPr>
      <w:r w:rsidRPr="00006F01">
        <w:rPr>
          <w:rFonts w:eastAsia="Segoe UI" w:cs="Segoe UI"/>
          <w:color w:val="1C1F23"/>
          <w:szCs w:val="21"/>
          <w:shd w:val="clear" w:color="auto" w:fill="FFFFFF"/>
        </w:rPr>
        <w:t>High (≥150): 6.82% of countries are in this top category, reflecting the highest purchasing power.</w:t>
      </w:r>
    </w:p>
    <w:p w14:paraId="50B5E1FB" w14:textId="657D4F68" w:rsidR="00006F01" w:rsidRPr="00006F01" w:rsidRDefault="00006F01" w:rsidP="00024D93">
      <w:pPr>
        <w:ind w:firstLineChars="100" w:firstLine="210"/>
        <w:rPr>
          <w:rFonts w:eastAsia="Segoe UI" w:cs="Segoe UI"/>
          <w:color w:val="1C1F23"/>
          <w:szCs w:val="21"/>
          <w:shd w:val="clear" w:color="auto" w:fill="FFFFFF"/>
        </w:rPr>
      </w:pPr>
      <w:r w:rsidRPr="00006F01">
        <w:rPr>
          <w:rFonts w:eastAsia="Segoe UI" w:cs="Segoe UI"/>
          <w:color w:val="1C1F23"/>
          <w:szCs w:val="21"/>
          <w:shd w:val="clear" w:color="auto" w:fill="FFFFFF"/>
        </w:rPr>
        <w:t>Pollution Index Distribution</w:t>
      </w:r>
    </w:p>
    <w:p w14:paraId="6CAB3CC9" w14:textId="77777777" w:rsidR="00006F01" w:rsidRPr="00006F01" w:rsidRDefault="00006F01" w:rsidP="00006F01">
      <w:pPr>
        <w:ind w:left="720"/>
        <w:rPr>
          <w:rFonts w:eastAsia="Segoe UI" w:cs="Segoe UI"/>
          <w:color w:val="1C1F23"/>
          <w:szCs w:val="21"/>
          <w:shd w:val="clear" w:color="auto" w:fill="FFFFFF"/>
        </w:rPr>
      </w:pPr>
      <w:r w:rsidRPr="00006F01">
        <w:rPr>
          <w:rFonts w:eastAsia="Segoe UI" w:cs="Segoe UI"/>
          <w:color w:val="1C1F23"/>
          <w:szCs w:val="21"/>
          <w:shd w:val="clear" w:color="auto" w:fill="FFFFFF"/>
        </w:rPr>
        <w:t>Upper-Middle (50-69): 35.2% of countries are in this range, indicating a moderate level of pollution.</w:t>
      </w:r>
    </w:p>
    <w:p w14:paraId="0047ECBA" w14:textId="77777777" w:rsidR="00006F01" w:rsidRPr="00006F01" w:rsidRDefault="00006F01" w:rsidP="00006F01">
      <w:pPr>
        <w:ind w:left="720"/>
        <w:rPr>
          <w:rFonts w:eastAsia="Segoe UI" w:cs="Segoe UI"/>
          <w:color w:val="1C1F23"/>
          <w:szCs w:val="21"/>
          <w:shd w:val="clear" w:color="auto" w:fill="FFFFFF"/>
        </w:rPr>
      </w:pPr>
      <w:r w:rsidRPr="00006F01">
        <w:rPr>
          <w:rFonts w:eastAsia="Segoe UI" w:cs="Segoe UI"/>
          <w:color w:val="1C1F23"/>
          <w:szCs w:val="21"/>
          <w:shd w:val="clear" w:color="auto" w:fill="FFFFFF"/>
        </w:rPr>
        <w:t>High (≥70): 23.9% of countries fall into this category, showing higher pollution levels.</w:t>
      </w:r>
    </w:p>
    <w:p w14:paraId="625138DE" w14:textId="77777777" w:rsidR="00006F01" w:rsidRPr="00006F01" w:rsidRDefault="00006F01" w:rsidP="00006F01">
      <w:pPr>
        <w:ind w:left="720"/>
        <w:rPr>
          <w:rFonts w:eastAsia="Segoe UI" w:cs="Segoe UI"/>
          <w:color w:val="1C1F23"/>
          <w:szCs w:val="21"/>
          <w:shd w:val="clear" w:color="auto" w:fill="FFFFFF"/>
        </w:rPr>
      </w:pPr>
      <w:r w:rsidRPr="00006F01">
        <w:rPr>
          <w:rFonts w:eastAsia="Segoe UI" w:cs="Segoe UI"/>
          <w:color w:val="1C1F23"/>
          <w:szCs w:val="21"/>
          <w:shd w:val="clear" w:color="auto" w:fill="FFFFFF"/>
        </w:rPr>
        <w:t>Middle (30-49): 21.6% of countries are in this bracket, representing a lower level of pollution compared to the upper-middle and high categories.</w:t>
      </w:r>
    </w:p>
    <w:p w14:paraId="60FF7750" w14:textId="77777777" w:rsidR="00006F01" w:rsidRPr="00006F01" w:rsidRDefault="00006F01" w:rsidP="00006F01">
      <w:pPr>
        <w:ind w:left="720"/>
        <w:rPr>
          <w:rFonts w:eastAsia="Segoe UI" w:cs="Segoe UI"/>
          <w:color w:val="1C1F23"/>
          <w:szCs w:val="21"/>
          <w:shd w:val="clear" w:color="auto" w:fill="FFFFFF"/>
        </w:rPr>
      </w:pPr>
      <w:r w:rsidRPr="00006F01">
        <w:rPr>
          <w:rFonts w:eastAsia="Segoe UI" w:cs="Segoe UI"/>
          <w:color w:val="1C1F23"/>
          <w:szCs w:val="21"/>
          <w:shd w:val="clear" w:color="auto" w:fill="FFFFFF"/>
        </w:rPr>
        <w:t>Low (&lt;30): 19.3% of countries are in this category, reflecting the lowest pollution levels.</w:t>
      </w:r>
    </w:p>
    <w:p w14:paraId="25FEB8CE" w14:textId="5DDEC2BD" w:rsidR="00006F01" w:rsidRDefault="00024D93">
      <w:pPr>
        <w:rPr>
          <w:sz w:val="28"/>
          <w:szCs w:val="28"/>
        </w:rPr>
      </w:pPr>
      <w:r>
        <w:rPr>
          <w:rFonts w:hint="eastAsia"/>
          <w:szCs w:val="21"/>
        </w:rPr>
        <w:t>8.</w:t>
      </w:r>
      <w:r>
        <w:rPr>
          <w:szCs w:val="21"/>
        </w:rPr>
        <w:t>Spearman Correlation</w:t>
      </w:r>
      <w:r>
        <w:rPr>
          <w:rFonts w:hint="eastAsia"/>
          <w:szCs w:val="21"/>
        </w:rPr>
        <w:t xml:space="preserve"> Heatmap:</w:t>
      </w:r>
    </w:p>
    <w:p w14:paraId="13DC420E" w14:textId="77777777" w:rsidR="00024D93" w:rsidRPr="00024D93" w:rsidRDefault="00024D93" w:rsidP="00024D93">
      <w:pPr>
        <w:ind w:firstLineChars="100" w:firstLine="210"/>
        <w:rPr>
          <w:szCs w:val="21"/>
        </w:rPr>
      </w:pPr>
      <w:r w:rsidRPr="00024D93">
        <w:rPr>
          <w:szCs w:val="21"/>
        </w:rPr>
        <w:t>Quality of Life Index is strongly linked to Purchasing Power Index and negatively related to Pollution Index and Traffic Commute Time Index.</w:t>
      </w:r>
    </w:p>
    <w:p w14:paraId="03DEDA46" w14:textId="77777777" w:rsidR="00024D93" w:rsidRPr="00024D93" w:rsidRDefault="00024D93" w:rsidP="00024D93">
      <w:pPr>
        <w:ind w:firstLineChars="100" w:firstLine="210"/>
        <w:rPr>
          <w:szCs w:val="21"/>
        </w:rPr>
      </w:pPr>
      <w:r w:rsidRPr="00024D93">
        <w:rPr>
          <w:szCs w:val="21"/>
        </w:rPr>
        <w:t>Purchasing Power Index is positively associated with both Quality of Life Index and Cost of Living Index.</w:t>
      </w:r>
    </w:p>
    <w:p w14:paraId="176851F9" w14:textId="77777777" w:rsidR="00024D93" w:rsidRPr="00024D93" w:rsidRDefault="00024D93" w:rsidP="00024D93">
      <w:pPr>
        <w:ind w:firstLineChars="100" w:firstLine="210"/>
        <w:rPr>
          <w:szCs w:val="21"/>
        </w:rPr>
      </w:pPr>
      <w:r w:rsidRPr="00024D93">
        <w:rPr>
          <w:szCs w:val="21"/>
        </w:rPr>
        <w:t xml:space="preserve">Safety Index and Health Care Index have a moderate positive relationship with </w:t>
      </w:r>
      <w:proofErr w:type="gramStart"/>
      <w:r w:rsidRPr="00024D93">
        <w:rPr>
          <w:szCs w:val="21"/>
        </w:rPr>
        <w:t>Quality of Life</w:t>
      </w:r>
      <w:proofErr w:type="gramEnd"/>
      <w:r w:rsidRPr="00024D93">
        <w:rPr>
          <w:szCs w:val="21"/>
        </w:rPr>
        <w:t xml:space="preserve"> Index.</w:t>
      </w:r>
    </w:p>
    <w:p w14:paraId="181D8D2F" w14:textId="77777777" w:rsidR="00024D93" w:rsidRPr="00024D93" w:rsidRDefault="00024D93" w:rsidP="00024D93">
      <w:pPr>
        <w:ind w:firstLineChars="100" w:firstLine="210"/>
        <w:rPr>
          <w:szCs w:val="21"/>
        </w:rPr>
      </w:pPr>
      <w:r w:rsidRPr="00024D93">
        <w:rPr>
          <w:szCs w:val="21"/>
        </w:rPr>
        <w:t xml:space="preserve">Cost of Living Index is positively correlated with </w:t>
      </w:r>
      <w:proofErr w:type="gramStart"/>
      <w:r w:rsidRPr="00024D93">
        <w:rPr>
          <w:szCs w:val="21"/>
        </w:rPr>
        <w:t>Quality of Life</w:t>
      </w:r>
      <w:proofErr w:type="gramEnd"/>
      <w:r w:rsidRPr="00024D93">
        <w:rPr>
          <w:szCs w:val="21"/>
        </w:rPr>
        <w:t xml:space="preserve"> Index but negatively with Property Price to Income Ratio.</w:t>
      </w:r>
    </w:p>
    <w:p w14:paraId="40BE01BE" w14:textId="77777777" w:rsidR="00024D93" w:rsidRPr="00024D93" w:rsidRDefault="00024D93" w:rsidP="00024D93">
      <w:pPr>
        <w:ind w:firstLineChars="100" w:firstLine="210"/>
        <w:rPr>
          <w:szCs w:val="21"/>
        </w:rPr>
      </w:pPr>
      <w:r w:rsidRPr="00024D93">
        <w:rPr>
          <w:szCs w:val="21"/>
        </w:rPr>
        <w:t xml:space="preserve">Property Price to Income Ratio inversely relates to </w:t>
      </w:r>
      <w:proofErr w:type="gramStart"/>
      <w:r w:rsidRPr="00024D93">
        <w:rPr>
          <w:szCs w:val="21"/>
        </w:rPr>
        <w:t>Quality of Life</w:t>
      </w:r>
      <w:proofErr w:type="gramEnd"/>
      <w:r w:rsidRPr="00024D93">
        <w:rPr>
          <w:szCs w:val="21"/>
        </w:rPr>
        <w:t xml:space="preserve"> Index and Cost of Living Index.</w:t>
      </w:r>
    </w:p>
    <w:p w14:paraId="54559C4E" w14:textId="77777777" w:rsidR="00024D93" w:rsidRPr="00024D93" w:rsidRDefault="00024D93" w:rsidP="00024D93">
      <w:pPr>
        <w:ind w:firstLineChars="100" w:firstLine="210"/>
        <w:rPr>
          <w:szCs w:val="21"/>
        </w:rPr>
      </w:pPr>
      <w:r w:rsidRPr="00024D93">
        <w:rPr>
          <w:szCs w:val="21"/>
        </w:rPr>
        <w:t>Traffic Commute Time Index and Pollution Index both negatively impact Quality of Life Index.</w:t>
      </w:r>
    </w:p>
    <w:p w14:paraId="21E1CDFD" w14:textId="0ACF6BD7" w:rsidR="00024D93" w:rsidRDefault="00024D93" w:rsidP="00024D93">
      <w:pPr>
        <w:ind w:firstLineChars="100" w:firstLine="210"/>
        <w:rPr>
          <w:szCs w:val="21"/>
        </w:rPr>
      </w:pPr>
      <w:r w:rsidRPr="00024D93">
        <w:rPr>
          <w:szCs w:val="21"/>
        </w:rPr>
        <w:t>Climate Index shows minimal correlation with the other indices.</w:t>
      </w:r>
    </w:p>
    <w:p w14:paraId="1B2D50EA" w14:textId="77777777" w:rsidR="00024D93" w:rsidRPr="00024D93" w:rsidRDefault="00024D93" w:rsidP="00024D93">
      <w:pPr>
        <w:ind w:firstLineChars="100" w:firstLine="210"/>
        <w:rPr>
          <w:szCs w:val="21"/>
        </w:rPr>
      </w:pPr>
    </w:p>
    <w:p w14:paraId="1F626BCB" w14:textId="7852F63C" w:rsidR="00006F01" w:rsidRDefault="00006F01">
      <w:pPr>
        <w:rPr>
          <w:rFonts w:ascii="Segoe UI" w:eastAsia="宋体" w:hAnsi="Segoe UI" w:cs="Segoe UI"/>
          <w:sz w:val="19"/>
          <w:szCs w:val="19"/>
          <w:shd w:val="clear" w:color="auto" w:fill="FFFFFF"/>
        </w:rPr>
      </w:pPr>
      <w:r>
        <w:rPr>
          <w:rFonts w:hint="eastAsia"/>
          <w:szCs w:val="21"/>
        </w:rPr>
        <w:t>9.</w:t>
      </w:r>
      <w:r w:rsidRPr="00006F01">
        <w:rPr>
          <w:rFonts w:ascii="Segoe UI" w:eastAsia="Segoe UI" w:hAnsi="Segoe UI" w:cs="Segoe UI"/>
          <w:sz w:val="19"/>
          <w:szCs w:val="19"/>
          <w:shd w:val="clear" w:color="auto" w:fill="FFFFFF"/>
        </w:rPr>
        <w:t xml:space="preserve"> </w:t>
      </w:r>
      <w:r>
        <w:rPr>
          <w:rFonts w:ascii="Segoe UI" w:eastAsia="Segoe UI" w:hAnsi="Segoe UI" w:cs="Segoe UI"/>
          <w:sz w:val="19"/>
          <w:szCs w:val="19"/>
          <w:shd w:val="clear" w:color="auto" w:fill="FFFFFF"/>
        </w:rPr>
        <w:t>Parallel Coordinate Plot</w:t>
      </w:r>
      <w:r>
        <w:rPr>
          <w:rFonts w:ascii="Segoe UI" w:eastAsia="宋体" w:hAnsi="Segoe UI" w:cs="Segoe UI" w:hint="eastAsia"/>
          <w:sz w:val="19"/>
          <w:szCs w:val="19"/>
          <w:shd w:val="clear" w:color="auto" w:fill="FFFFFF"/>
        </w:rPr>
        <w:t>:</w:t>
      </w:r>
    </w:p>
    <w:p w14:paraId="29F81239" w14:textId="77777777" w:rsidR="00006F01" w:rsidRDefault="00006F01" w:rsidP="00006F01">
      <w:pPr>
        <w:rPr>
          <w:rFonts w:cs="Segoe UI"/>
          <w:color w:val="1C1F23"/>
          <w:szCs w:val="21"/>
          <w:shd w:val="clear" w:color="auto" w:fill="FFFFFF"/>
        </w:rPr>
      </w:pPr>
      <w:r>
        <w:rPr>
          <w:rFonts w:ascii="Segoe UI" w:eastAsia="宋体" w:hAnsi="Segoe UI" w:cs="Segoe UI" w:hint="eastAsia"/>
          <w:sz w:val="19"/>
          <w:szCs w:val="19"/>
          <w:shd w:val="clear" w:color="auto" w:fill="FFFFFF"/>
        </w:rPr>
        <w:t xml:space="preserve">  </w:t>
      </w:r>
      <w:r>
        <w:rPr>
          <w:rFonts w:eastAsia="Segoe UI" w:cs="Segoe UI"/>
          <w:color w:val="1C1F23"/>
          <w:szCs w:val="21"/>
          <w:shd w:val="clear" w:color="auto" w:fill="FFFFFF"/>
        </w:rPr>
        <w:t xml:space="preserve">In this parallel coordinate plot of 6 indicators for the top 10 countries, Luxembourg starts with a high Quality of Life Index but shows a significant decline in the </w:t>
      </w:r>
      <w:proofErr w:type="gramStart"/>
      <w:r>
        <w:rPr>
          <w:rFonts w:eastAsia="Segoe UI" w:cs="Segoe UI"/>
          <w:color w:val="1C1F23"/>
          <w:szCs w:val="21"/>
          <w:shd w:val="clear" w:color="auto" w:fill="FFFFFF"/>
        </w:rPr>
        <w:t>Cost of Living</w:t>
      </w:r>
      <w:proofErr w:type="gramEnd"/>
      <w:r>
        <w:rPr>
          <w:rFonts w:eastAsia="Segoe UI" w:cs="Segoe UI"/>
          <w:color w:val="1C1F23"/>
          <w:szCs w:val="21"/>
          <w:shd w:val="clear" w:color="auto" w:fill="FFFFFF"/>
        </w:rPr>
        <w:t xml:space="preserve"> Index. The Netherlands and Denmark have relatively stable transitions across most indicators. Oman stands out with a sharp drop from a moderately high start in some indices to a lower value in the Traffic Commute Time Index. Switzerland has a complex pattern, with a notable peak in the </w:t>
      </w:r>
      <w:proofErr w:type="gramStart"/>
      <w:r>
        <w:rPr>
          <w:rFonts w:eastAsia="Segoe UI" w:cs="Segoe UI"/>
          <w:color w:val="1C1F23"/>
          <w:szCs w:val="21"/>
          <w:shd w:val="clear" w:color="auto" w:fill="FFFFFF"/>
        </w:rPr>
        <w:t>Cost of Living</w:t>
      </w:r>
      <w:proofErr w:type="gramEnd"/>
      <w:r>
        <w:rPr>
          <w:rFonts w:eastAsia="Segoe UI" w:cs="Segoe UI"/>
          <w:color w:val="1C1F23"/>
          <w:szCs w:val="21"/>
          <w:shd w:val="clear" w:color="auto" w:fill="FFFFFF"/>
        </w:rPr>
        <w:t xml:space="preserve"> Index. Overall, the plot reveals diverse relationships and trends among different countries across these various quality - of - life - related indicators.</w:t>
      </w:r>
    </w:p>
    <w:p w14:paraId="199E0070" w14:textId="77777777" w:rsidR="00121E0B" w:rsidRPr="00121E0B" w:rsidRDefault="00121E0B" w:rsidP="00006F01">
      <w:pPr>
        <w:rPr>
          <w:rFonts w:cs="Segoe UI"/>
          <w:color w:val="1C1F23"/>
          <w:szCs w:val="21"/>
          <w:shd w:val="clear" w:color="auto" w:fill="FFFFFF"/>
        </w:rPr>
      </w:pPr>
    </w:p>
    <w:p w14:paraId="0827FBFC" w14:textId="6E40C89F" w:rsidR="00006F01" w:rsidRDefault="00121E0B">
      <w:pPr>
        <w:rPr>
          <w:szCs w:val="21"/>
        </w:rPr>
      </w:pPr>
      <w:r>
        <w:rPr>
          <w:rFonts w:hint="eastAsia"/>
          <w:szCs w:val="21"/>
        </w:rPr>
        <w:t>10.</w:t>
      </w:r>
      <w:r w:rsidRPr="00121E0B">
        <w:rPr>
          <w:rFonts w:ascii="Fira Code" w:eastAsia="宋体" w:hAnsi="Fira Code" w:cs="Fira Code"/>
          <w:color w:val="50A14F"/>
          <w:spacing w:val="8"/>
          <w:szCs w:val="21"/>
          <w:bdr w:val="none" w:sz="0" w:space="0" w:color="auto" w:frame="1"/>
          <w:shd w:val="clear" w:color="auto" w:fill="FAFAFA"/>
        </w:rPr>
        <w:t xml:space="preserve"> </w:t>
      </w:r>
      <w:r w:rsidRPr="00121E0B">
        <w:rPr>
          <w:szCs w:val="21"/>
        </w:rPr>
        <w:t>Stacked Bar Chart</w:t>
      </w:r>
      <w:r>
        <w:rPr>
          <w:rFonts w:hint="eastAsia"/>
          <w:szCs w:val="21"/>
        </w:rPr>
        <w:t>:</w:t>
      </w:r>
    </w:p>
    <w:p w14:paraId="2FC6A3B7" w14:textId="77777777" w:rsidR="00121E0B" w:rsidRPr="00121E0B" w:rsidRDefault="00121E0B" w:rsidP="00121E0B">
      <w:pPr>
        <w:ind w:firstLineChars="100" w:firstLine="210"/>
        <w:rPr>
          <w:rFonts w:eastAsia="Segoe UI" w:cs="Segoe UI"/>
          <w:color w:val="1C1F23"/>
          <w:szCs w:val="21"/>
          <w:shd w:val="clear" w:color="auto" w:fill="FFFFFF"/>
        </w:rPr>
      </w:pPr>
      <w:r w:rsidRPr="00121E0B">
        <w:rPr>
          <w:rFonts w:eastAsia="Segoe UI" w:cs="Segoe UI"/>
          <w:color w:val="1C1F23"/>
          <w:szCs w:val="21"/>
          <w:shd w:val="clear" w:color="auto" w:fill="FFFFFF"/>
        </w:rPr>
        <w:t>Each bar is segmented into four colors, each representing one of the indices. Switzerland shows the highest overall quality of life, while Qatar has a strong purchasing power but lower scores in safety and health care. Luxembourg and the Netherlands have high purchasing power scores.</w:t>
      </w:r>
    </w:p>
    <w:p w14:paraId="72838196" w14:textId="77777777" w:rsidR="00121E0B" w:rsidRPr="00121E0B" w:rsidRDefault="00121E0B" w:rsidP="00121E0B">
      <w:pPr>
        <w:ind w:firstLineChars="50" w:firstLine="105"/>
        <w:rPr>
          <w:rFonts w:eastAsia="Segoe UI" w:cs="Segoe UI"/>
          <w:color w:val="1C1F23"/>
          <w:szCs w:val="21"/>
          <w:shd w:val="clear" w:color="auto" w:fill="FFFFFF"/>
        </w:rPr>
      </w:pPr>
      <w:r w:rsidRPr="00121E0B">
        <w:rPr>
          <w:rFonts w:eastAsia="Segoe UI" w:cs="Segoe UI"/>
          <w:color w:val="1C1F23"/>
          <w:szCs w:val="21"/>
          <w:shd w:val="clear" w:color="auto" w:fill="FFFFFF"/>
        </w:rPr>
        <w:t xml:space="preserve">In summary, this visualization effectively highlights the </w:t>
      </w:r>
      <w:proofErr w:type="gramStart"/>
      <w:r w:rsidRPr="00121E0B">
        <w:rPr>
          <w:rFonts w:eastAsia="Segoe UI" w:cs="Segoe UI"/>
          <w:color w:val="1C1F23"/>
          <w:szCs w:val="21"/>
          <w:shd w:val="clear" w:color="auto" w:fill="FFFFFF"/>
        </w:rPr>
        <w:t>quality of life</w:t>
      </w:r>
      <w:proofErr w:type="gramEnd"/>
      <w:r w:rsidRPr="00121E0B">
        <w:rPr>
          <w:rFonts w:eastAsia="Segoe UI" w:cs="Segoe UI"/>
          <w:color w:val="1C1F23"/>
          <w:szCs w:val="21"/>
          <w:shd w:val="clear" w:color="auto" w:fill="FFFFFF"/>
        </w:rPr>
        <w:t xml:space="preserve"> strengths and weaknesses in each country, providing a clear overview of where improvements may be needed.</w:t>
      </w:r>
    </w:p>
    <w:p w14:paraId="18A3C468" w14:textId="77777777" w:rsidR="00121E0B" w:rsidRPr="00121E0B" w:rsidRDefault="00121E0B">
      <w:pPr>
        <w:rPr>
          <w:rFonts w:eastAsia="Segoe UI" w:cs="Segoe UI"/>
          <w:color w:val="1C1F23"/>
          <w:szCs w:val="21"/>
          <w:shd w:val="clear" w:color="auto" w:fill="FFFFFF"/>
        </w:rPr>
      </w:pPr>
    </w:p>
    <w:sectPr w:rsidR="00121E0B" w:rsidRPr="00121E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46186C" w14:textId="77777777" w:rsidR="00CD6D94" w:rsidRDefault="00CD6D94" w:rsidP="00121E0B">
      <w:r>
        <w:separator/>
      </w:r>
    </w:p>
  </w:endnote>
  <w:endnote w:type="continuationSeparator" w:id="0">
    <w:p w14:paraId="0763A747" w14:textId="77777777" w:rsidR="00CD6D94" w:rsidRDefault="00CD6D94" w:rsidP="00121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ira Code">
    <w:charset w:val="00"/>
    <w:family w:val="modern"/>
    <w:pitch w:val="fixed"/>
    <w:sig w:usb0="E00002EF" w:usb1="1200F8FB" w:usb2="00000008"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E4EEA9" w14:textId="77777777" w:rsidR="00CD6D94" w:rsidRDefault="00CD6D94" w:rsidP="00121E0B">
      <w:r>
        <w:separator/>
      </w:r>
    </w:p>
  </w:footnote>
  <w:footnote w:type="continuationSeparator" w:id="0">
    <w:p w14:paraId="2D42A70F" w14:textId="77777777" w:rsidR="00CD6D94" w:rsidRDefault="00CD6D94" w:rsidP="00121E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9549E"/>
    <w:multiLevelType w:val="multilevel"/>
    <w:tmpl w:val="F28A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4E7A01"/>
    <w:multiLevelType w:val="multilevel"/>
    <w:tmpl w:val="B4D83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6F7491"/>
    <w:multiLevelType w:val="multilevel"/>
    <w:tmpl w:val="4316F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0FAD44E"/>
    <w:multiLevelType w:val="singleLevel"/>
    <w:tmpl w:val="40FAD44E"/>
    <w:lvl w:ilvl="0">
      <w:start w:val="9"/>
      <w:numFmt w:val="decimal"/>
      <w:suff w:val="space"/>
      <w:lvlText w:val="%1."/>
      <w:lvlJc w:val="left"/>
    </w:lvl>
  </w:abstractNum>
  <w:abstractNum w:abstractNumId="4" w15:restartNumberingAfterBreak="0">
    <w:nsid w:val="6DE0097E"/>
    <w:multiLevelType w:val="multilevel"/>
    <w:tmpl w:val="C7F21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87144376">
    <w:abstractNumId w:val="3"/>
  </w:num>
  <w:num w:numId="2" w16cid:durableId="2127960671">
    <w:abstractNumId w:val="2"/>
  </w:num>
  <w:num w:numId="3" w16cid:durableId="1008413016">
    <w:abstractNumId w:val="4"/>
  </w:num>
  <w:num w:numId="4" w16cid:durableId="2003271360">
    <w:abstractNumId w:val="1"/>
  </w:num>
  <w:num w:numId="5" w16cid:durableId="14682835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E2D4D3D"/>
    <w:rsid w:val="00006F01"/>
    <w:rsid w:val="00024D93"/>
    <w:rsid w:val="00037017"/>
    <w:rsid w:val="000E6897"/>
    <w:rsid w:val="00121E0B"/>
    <w:rsid w:val="0017368C"/>
    <w:rsid w:val="00210BE9"/>
    <w:rsid w:val="003B6FF6"/>
    <w:rsid w:val="006C6F44"/>
    <w:rsid w:val="007B4A00"/>
    <w:rsid w:val="007D32AC"/>
    <w:rsid w:val="00932B38"/>
    <w:rsid w:val="00A712A1"/>
    <w:rsid w:val="00CD6D94"/>
    <w:rsid w:val="00D41FB8"/>
    <w:rsid w:val="0E2D4D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5C2B35"/>
  <w15:docId w15:val="{09ABC02B-0A78-4F34-9977-85531DC3F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paragraph" w:styleId="HTML">
    <w:name w:val="HTML Preformatted"/>
    <w:basedOn w:val="a"/>
    <w:link w:val="HTML0"/>
    <w:rsid w:val="00006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character" w:customStyle="1" w:styleId="HTML0">
    <w:name w:val="HTML 预设格式 字符"/>
    <w:basedOn w:val="a0"/>
    <w:link w:val="HTML"/>
    <w:rsid w:val="00006F01"/>
    <w:rPr>
      <w:rFonts w:ascii="宋体" w:hAnsi="宋体"/>
      <w:sz w:val="24"/>
      <w:szCs w:val="24"/>
    </w:rPr>
  </w:style>
  <w:style w:type="character" w:styleId="HTML1">
    <w:name w:val="HTML Code"/>
    <w:basedOn w:val="a0"/>
    <w:rsid w:val="00006F01"/>
    <w:rPr>
      <w:rFonts w:ascii="Courier New" w:hAnsi="Courier New"/>
      <w:sz w:val="20"/>
    </w:rPr>
  </w:style>
  <w:style w:type="paragraph" w:styleId="a5">
    <w:name w:val="header"/>
    <w:basedOn w:val="a"/>
    <w:link w:val="a6"/>
    <w:rsid w:val="00121E0B"/>
    <w:pPr>
      <w:tabs>
        <w:tab w:val="center" w:pos="4153"/>
        <w:tab w:val="right" w:pos="8306"/>
      </w:tabs>
      <w:snapToGrid w:val="0"/>
      <w:jc w:val="center"/>
    </w:pPr>
    <w:rPr>
      <w:sz w:val="18"/>
      <w:szCs w:val="18"/>
    </w:rPr>
  </w:style>
  <w:style w:type="character" w:customStyle="1" w:styleId="a6">
    <w:name w:val="页眉 字符"/>
    <w:basedOn w:val="a0"/>
    <w:link w:val="a5"/>
    <w:rsid w:val="00121E0B"/>
    <w:rPr>
      <w:rFonts w:asciiTheme="minorHAnsi" w:eastAsiaTheme="minorEastAsia" w:hAnsiTheme="minorHAnsi" w:cstheme="minorBidi"/>
      <w:kern w:val="2"/>
      <w:sz w:val="18"/>
      <w:szCs w:val="18"/>
    </w:rPr>
  </w:style>
  <w:style w:type="paragraph" w:styleId="a7">
    <w:name w:val="footer"/>
    <w:basedOn w:val="a"/>
    <w:link w:val="a8"/>
    <w:rsid w:val="00121E0B"/>
    <w:pPr>
      <w:tabs>
        <w:tab w:val="center" w:pos="4153"/>
        <w:tab w:val="right" w:pos="8306"/>
      </w:tabs>
      <w:snapToGrid w:val="0"/>
      <w:jc w:val="left"/>
    </w:pPr>
    <w:rPr>
      <w:sz w:val="18"/>
      <w:szCs w:val="18"/>
    </w:rPr>
  </w:style>
  <w:style w:type="character" w:customStyle="1" w:styleId="a8">
    <w:name w:val="页脚 字符"/>
    <w:basedOn w:val="a0"/>
    <w:link w:val="a7"/>
    <w:rsid w:val="00121E0B"/>
    <w:rPr>
      <w:rFonts w:asciiTheme="minorHAnsi" w:eastAsiaTheme="minorEastAsia" w:hAnsiTheme="minorHAnsi" w:cstheme="minorBidi"/>
      <w:kern w:val="2"/>
      <w:sz w:val="18"/>
      <w:szCs w:val="18"/>
    </w:rPr>
  </w:style>
  <w:style w:type="table" w:styleId="a9">
    <w:name w:val="Table Grid"/>
    <w:basedOn w:val="a1"/>
    <w:rsid w:val="00210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210BE9"/>
    <w:pPr>
      <w:autoSpaceDE w:val="0"/>
      <w:autoSpaceDN w:val="0"/>
      <w:spacing w:line="255" w:lineRule="exact"/>
      <w:ind w:left="33"/>
      <w:jc w:val="center"/>
    </w:pPr>
    <w:rPr>
      <w:rFonts w:ascii="Arial" w:eastAsia="Arial" w:hAnsi="Arial" w:cs="Arial"/>
      <w:kern w:val="0"/>
      <w:sz w:val="22"/>
      <w:szCs w:val="22"/>
      <w:lang w:eastAsia="en-US"/>
    </w:rPr>
  </w:style>
  <w:style w:type="table" w:customStyle="1" w:styleId="TableNormal">
    <w:name w:val="Table Normal"/>
    <w:uiPriority w:val="2"/>
    <w:semiHidden/>
    <w:unhideWhenUsed/>
    <w:qFormat/>
    <w:rsid w:val="00210BE9"/>
    <w:pPr>
      <w:widowControl w:val="0"/>
      <w:autoSpaceDE w:val="0"/>
      <w:autoSpaceDN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4394">
      <w:bodyDiv w:val="1"/>
      <w:marLeft w:val="0"/>
      <w:marRight w:val="0"/>
      <w:marTop w:val="0"/>
      <w:marBottom w:val="0"/>
      <w:divBdr>
        <w:top w:val="none" w:sz="0" w:space="0" w:color="auto"/>
        <w:left w:val="none" w:sz="0" w:space="0" w:color="auto"/>
        <w:bottom w:val="none" w:sz="0" w:space="0" w:color="auto"/>
        <w:right w:val="none" w:sz="0" w:space="0" w:color="auto"/>
      </w:divBdr>
    </w:div>
    <w:div w:id="308019658">
      <w:bodyDiv w:val="1"/>
      <w:marLeft w:val="0"/>
      <w:marRight w:val="0"/>
      <w:marTop w:val="0"/>
      <w:marBottom w:val="0"/>
      <w:divBdr>
        <w:top w:val="none" w:sz="0" w:space="0" w:color="auto"/>
        <w:left w:val="none" w:sz="0" w:space="0" w:color="auto"/>
        <w:bottom w:val="none" w:sz="0" w:space="0" w:color="auto"/>
        <w:right w:val="none" w:sz="0" w:space="0" w:color="auto"/>
      </w:divBdr>
    </w:div>
    <w:div w:id="855735545">
      <w:bodyDiv w:val="1"/>
      <w:marLeft w:val="0"/>
      <w:marRight w:val="0"/>
      <w:marTop w:val="0"/>
      <w:marBottom w:val="0"/>
      <w:divBdr>
        <w:top w:val="none" w:sz="0" w:space="0" w:color="auto"/>
        <w:left w:val="none" w:sz="0" w:space="0" w:color="auto"/>
        <w:bottom w:val="none" w:sz="0" w:space="0" w:color="auto"/>
        <w:right w:val="none" w:sz="0" w:space="0" w:color="auto"/>
      </w:divBdr>
      <w:divsChild>
        <w:div w:id="2004158333">
          <w:marLeft w:val="0"/>
          <w:marRight w:val="0"/>
          <w:marTop w:val="0"/>
          <w:marBottom w:val="0"/>
          <w:divBdr>
            <w:top w:val="none" w:sz="0" w:space="0" w:color="auto"/>
            <w:left w:val="none" w:sz="0" w:space="0" w:color="auto"/>
            <w:bottom w:val="none" w:sz="0" w:space="0" w:color="auto"/>
            <w:right w:val="none" w:sz="0" w:space="0" w:color="auto"/>
          </w:divBdr>
        </w:div>
        <w:div w:id="1258439987">
          <w:marLeft w:val="0"/>
          <w:marRight w:val="0"/>
          <w:marTop w:val="0"/>
          <w:marBottom w:val="0"/>
          <w:divBdr>
            <w:top w:val="none" w:sz="0" w:space="0" w:color="auto"/>
            <w:left w:val="none" w:sz="0" w:space="0" w:color="auto"/>
            <w:bottom w:val="none" w:sz="0" w:space="0" w:color="auto"/>
            <w:right w:val="none" w:sz="0" w:space="0" w:color="auto"/>
          </w:divBdr>
        </w:div>
        <w:div w:id="1522544321">
          <w:marLeft w:val="0"/>
          <w:marRight w:val="0"/>
          <w:marTop w:val="0"/>
          <w:marBottom w:val="0"/>
          <w:divBdr>
            <w:top w:val="none" w:sz="0" w:space="0" w:color="auto"/>
            <w:left w:val="none" w:sz="0" w:space="0" w:color="auto"/>
            <w:bottom w:val="none" w:sz="0" w:space="0" w:color="auto"/>
            <w:right w:val="none" w:sz="0" w:space="0" w:color="auto"/>
          </w:divBdr>
        </w:div>
        <w:div w:id="777405666">
          <w:marLeft w:val="0"/>
          <w:marRight w:val="0"/>
          <w:marTop w:val="0"/>
          <w:marBottom w:val="0"/>
          <w:divBdr>
            <w:top w:val="none" w:sz="0" w:space="0" w:color="auto"/>
            <w:left w:val="none" w:sz="0" w:space="0" w:color="auto"/>
            <w:bottom w:val="none" w:sz="0" w:space="0" w:color="auto"/>
            <w:right w:val="none" w:sz="0" w:space="0" w:color="auto"/>
          </w:divBdr>
        </w:div>
        <w:div w:id="914974643">
          <w:marLeft w:val="0"/>
          <w:marRight w:val="0"/>
          <w:marTop w:val="0"/>
          <w:marBottom w:val="0"/>
          <w:divBdr>
            <w:top w:val="none" w:sz="0" w:space="0" w:color="auto"/>
            <w:left w:val="none" w:sz="0" w:space="0" w:color="auto"/>
            <w:bottom w:val="none" w:sz="0" w:space="0" w:color="auto"/>
            <w:right w:val="none" w:sz="0" w:space="0" w:color="auto"/>
          </w:divBdr>
        </w:div>
        <w:div w:id="1670059015">
          <w:marLeft w:val="0"/>
          <w:marRight w:val="0"/>
          <w:marTop w:val="0"/>
          <w:marBottom w:val="0"/>
          <w:divBdr>
            <w:top w:val="none" w:sz="0" w:space="0" w:color="auto"/>
            <w:left w:val="none" w:sz="0" w:space="0" w:color="auto"/>
            <w:bottom w:val="none" w:sz="0" w:space="0" w:color="auto"/>
            <w:right w:val="none" w:sz="0" w:space="0" w:color="auto"/>
          </w:divBdr>
        </w:div>
        <w:div w:id="1563905291">
          <w:marLeft w:val="0"/>
          <w:marRight w:val="0"/>
          <w:marTop w:val="0"/>
          <w:marBottom w:val="0"/>
          <w:divBdr>
            <w:top w:val="none" w:sz="0" w:space="0" w:color="auto"/>
            <w:left w:val="none" w:sz="0" w:space="0" w:color="auto"/>
            <w:bottom w:val="none" w:sz="0" w:space="0" w:color="auto"/>
            <w:right w:val="none" w:sz="0" w:space="0" w:color="auto"/>
          </w:divBdr>
        </w:div>
      </w:divsChild>
    </w:div>
    <w:div w:id="911086545">
      <w:bodyDiv w:val="1"/>
      <w:marLeft w:val="0"/>
      <w:marRight w:val="0"/>
      <w:marTop w:val="0"/>
      <w:marBottom w:val="0"/>
      <w:divBdr>
        <w:top w:val="none" w:sz="0" w:space="0" w:color="auto"/>
        <w:left w:val="none" w:sz="0" w:space="0" w:color="auto"/>
        <w:bottom w:val="none" w:sz="0" w:space="0" w:color="auto"/>
        <w:right w:val="none" w:sz="0" w:space="0" w:color="auto"/>
      </w:divBdr>
      <w:divsChild>
        <w:div w:id="1600478895">
          <w:marLeft w:val="0"/>
          <w:marRight w:val="0"/>
          <w:marTop w:val="0"/>
          <w:marBottom w:val="206"/>
          <w:divBdr>
            <w:top w:val="none" w:sz="0" w:space="0" w:color="auto"/>
            <w:left w:val="none" w:sz="0" w:space="0" w:color="auto"/>
            <w:bottom w:val="none" w:sz="0" w:space="0" w:color="auto"/>
            <w:right w:val="none" w:sz="0" w:space="0" w:color="auto"/>
          </w:divBdr>
        </w:div>
        <w:div w:id="1922525156">
          <w:marLeft w:val="0"/>
          <w:marRight w:val="0"/>
          <w:marTop w:val="0"/>
          <w:marBottom w:val="0"/>
          <w:divBdr>
            <w:top w:val="none" w:sz="0" w:space="0" w:color="auto"/>
            <w:left w:val="none" w:sz="0" w:space="0" w:color="auto"/>
            <w:bottom w:val="none" w:sz="0" w:space="0" w:color="auto"/>
            <w:right w:val="none" w:sz="0" w:space="0" w:color="auto"/>
          </w:divBdr>
        </w:div>
      </w:divsChild>
    </w:div>
    <w:div w:id="1062094753">
      <w:bodyDiv w:val="1"/>
      <w:marLeft w:val="0"/>
      <w:marRight w:val="0"/>
      <w:marTop w:val="0"/>
      <w:marBottom w:val="0"/>
      <w:divBdr>
        <w:top w:val="none" w:sz="0" w:space="0" w:color="auto"/>
        <w:left w:val="none" w:sz="0" w:space="0" w:color="auto"/>
        <w:bottom w:val="none" w:sz="0" w:space="0" w:color="auto"/>
        <w:right w:val="none" w:sz="0" w:space="0" w:color="auto"/>
      </w:divBdr>
      <w:divsChild>
        <w:div w:id="1491291309">
          <w:marLeft w:val="0"/>
          <w:marRight w:val="0"/>
          <w:marTop w:val="0"/>
          <w:marBottom w:val="0"/>
          <w:divBdr>
            <w:top w:val="none" w:sz="0" w:space="0" w:color="auto"/>
            <w:left w:val="none" w:sz="0" w:space="0" w:color="auto"/>
            <w:bottom w:val="none" w:sz="0" w:space="0" w:color="auto"/>
            <w:right w:val="none" w:sz="0" w:space="0" w:color="auto"/>
          </w:divBdr>
        </w:div>
        <w:div w:id="556554224">
          <w:marLeft w:val="0"/>
          <w:marRight w:val="0"/>
          <w:marTop w:val="0"/>
          <w:marBottom w:val="0"/>
          <w:divBdr>
            <w:top w:val="none" w:sz="0" w:space="0" w:color="auto"/>
            <w:left w:val="none" w:sz="0" w:space="0" w:color="auto"/>
            <w:bottom w:val="none" w:sz="0" w:space="0" w:color="auto"/>
            <w:right w:val="none" w:sz="0" w:space="0" w:color="auto"/>
          </w:divBdr>
        </w:div>
        <w:div w:id="799106329">
          <w:marLeft w:val="0"/>
          <w:marRight w:val="0"/>
          <w:marTop w:val="0"/>
          <w:marBottom w:val="0"/>
          <w:divBdr>
            <w:top w:val="none" w:sz="0" w:space="0" w:color="auto"/>
            <w:left w:val="none" w:sz="0" w:space="0" w:color="auto"/>
            <w:bottom w:val="none" w:sz="0" w:space="0" w:color="auto"/>
            <w:right w:val="none" w:sz="0" w:space="0" w:color="auto"/>
          </w:divBdr>
        </w:div>
        <w:div w:id="533468169">
          <w:marLeft w:val="0"/>
          <w:marRight w:val="0"/>
          <w:marTop w:val="0"/>
          <w:marBottom w:val="0"/>
          <w:divBdr>
            <w:top w:val="none" w:sz="0" w:space="0" w:color="auto"/>
            <w:left w:val="none" w:sz="0" w:space="0" w:color="auto"/>
            <w:bottom w:val="none" w:sz="0" w:space="0" w:color="auto"/>
            <w:right w:val="none" w:sz="0" w:space="0" w:color="auto"/>
          </w:divBdr>
        </w:div>
        <w:div w:id="612591411">
          <w:marLeft w:val="0"/>
          <w:marRight w:val="0"/>
          <w:marTop w:val="0"/>
          <w:marBottom w:val="0"/>
          <w:divBdr>
            <w:top w:val="none" w:sz="0" w:space="0" w:color="auto"/>
            <w:left w:val="none" w:sz="0" w:space="0" w:color="auto"/>
            <w:bottom w:val="none" w:sz="0" w:space="0" w:color="auto"/>
            <w:right w:val="none" w:sz="0" w:space="0" w:color="auto"/>
          </w:divBdr>
        </w:div>
        <w:div w:id="630788154">
          <w:marLeft w:val="0"/>
          <w:marRight w:val="0"/>
          <w:marTop w:val="0"/>
          <w:marBottom w:val="0"/>
          <w:divBdr>
            <w:top w:val="none" w:sz="0" w:space="0" w:color="auto"/>
            <w:left w:val="none" w:sz="0" w:space="0" w:color="auto"/>
            <w:bottom w:val="none" w:sz="0" w:space="0" w:color="auto"/>
            <w:right w:val="none" w:sz="0" w:space="0" w:color="auto"/>
          </w:divBdr>
        </w:div>
        <w:div w:id="304705899">
          <w:marLeft w:val="0"/>
          <w:marRight w:val="0"/>
          <w:marTop w:val="0"/>
          <w:marBottom w:val="0"/>
          <w:divBdr>
            <w:top w:val="none" w:sz="0" w:space="0" w:color="auto"/>
            <w:left w:val="none" w:sz="0" w:space="0" w:color="auto"/>
            <w:bottom w:val="none" w:sz="0" w:space="0" w:color="auto"/>
            <w:right w:val="none" w:sz="0" w:space="0" w:color="auto"/>
          </w:divBdr>
        </w:div>
      </w:divsChild>
    </w:div>
    <w:div w:id="1137450857">
      <w:bodyDiv w:val="1"/>
      <w:marLeft w:val="0"/>
      <w:marRight w:val="0"/>
      <w:marTop w:val="0"/>
      <w:marBottom w:val="0"/>
      <w:divBdr>
        <w:top w:val="none" w:sz="0" w:space="0" w:color="auto"/>
        <w:left w:val="none" w:sz="0" w:space="0" w:color="auto"/>
        <w:bottom w:val="none" w:sz="0" w:space="0" w:color="auto"/>
        <w:right w:val="none" w:sz="0" w:space="0" w:color="auto"/>
      </w:divBdr>
      <w:divsChild>
        <w:div w:id="1373533131">
          <w:marLeft w:val="0"/>
          <w:marRight w:val="0"/>
          <w:marTop w:val="0"/>
          <w:marBottom w:val="206"/>
          <w:divBdr>
            <w:top w:val="none" w:sz="0" w:space="0" w:color="auto"/>
            <w:left w:val="none" w:sz="0" w:space="0" w:color="auto"/>
            <w:bottom w:val="none" w:sz="0" w:space="0" w:color="auto"/>
            <w:right w:val="none" w:sz="0" w:space="0" w:color="auto"/>
          </w:divBdr>
        </w:div>
        <w:div w:id="1882401583">
          <w:marLeft w:val="0"/>
          <w:marRight w:val="0"/>
          <w:marTop w:val="0"/>
          <w:marBottom w:val="0"/>
          <w:divBdr>
            <w:top w:val="none" w:sz="0" w:space="0" w:color="auto"/>
            <w:left w:val="none" w:sz="0" w:space="0" w:color="auto"/>
            <w:bottom w:val="none" w:sz="0" w:space="0" w:color="auto"/>
            <w:right w:val="none" w:sz="0" w:space="0" w:color="auto"/>
          </w:divBdr>
        </w:div>
      </w:divsChild>
    </w:div>
    <w:div w:id="1162234620">
      <w:bodyDiv w:val="1"/>
      <w:marLeft w:val="0"/>
      <w:marRight w:val="0"/>
      <w:marTop w:val="0"/>
      <w:marBottom w:val="0"/>
      <w:divBdr>
        <w:top w:val="none" w:sz="0" w:space="0" w:color="auto"/>
        <w:left w:val="none" w:sz="0" w:space="0" w:color="auto"/>
        <w:bottom w:val="none" w:sz="0" w:space="0" w:color="auto"/>
        <w:right w:val="none" w:sz="0" w:space="0" w:color="auto"/>
      </w:divBdr>
      <w:divsChild>
        <w:div w:id="250630574">
          <w:marLeft w:val="0"/>
          <w:marRight w:val="0"/>
          <w:marTop w:val="0"/>
          <w:marBottom w:val="0"/>
          <w:divBdr>
            <w:top w:val="none" w:sz="0" w:space="0" w:color="auto"/>
            <w:left w:val="none" w:sz="0" w:space="0" w:color="auto"/>
            <w:bottom w:val="none" w:sz="0" w:space="0" w:color="auto"/>
            <w:right w:val="none" w:sz="0" w:space="0" w:color="auto"/>
          </w:divBdr>
        </w:div>
        <w:div w:id="662045319">
          <w:marLeft w:val="0"/>
          <w:marRight w:val="0"/>
          <w:marTop w:val="0"/>
          <w:marBottom w:val="0"/>
          <w:divBdr>
            <w:top w:val="none" w:sz="0" w:space="0" w:color="auto"/>
            <w:left w:val="none" w:sz="0" w:space="0" w:color="auto"/>
            <w:bottom w:val="none" w:sz="0" w:space="0" w:color="auto"/>
            <w:right w:val="none" w:sz="0" w:space="0" w:color="auto"/>
          </w:divBdr>
        </w:div>
        <w:div w:id="1913662691">
          <w:marLeft w:val="0"/>
          <w:marRight w:val="0"/>
          <w:marTop w:val="0"/>
          <w:marBottom w:val="0"/>
          <w:divBdr>
            <w:top w:val="none" w:sz="0" w:space="0" w:color="auto"/>
            <w:left w:val="none" w:sz="0" w:space="0" w:color="auto"/>
            <w:bottom w:val="none" w:sz="0" w:space="0" w:color="auto"/>
            <w:right w:val="none" w:sz="0" w:space="0" w:color="auto"/>
          </w:divBdr>
        </w:div>
        <w:div w:id="683215542">
          <w:marLeft w:val="0"/>
          <w:marRight w:val="0"/>
          <w:marTop w:val="0"/>
          <w:marBottom w:val="0"/>
          <w:divBdr>
            <w:top w:val="none" w:sz="0" w:space="0" w:color="auto"/>
            <w:left w:val="none" w:sz="0" w:space="0" w:color="auto"/>
            <w:bottom w:val="none" w:sz="0" w:space="0" w:color="auto"/>
            <w:right w:val="none" w:sz="0" w:space="0" w:color="auto"/>
          </w:divBdr>
        </w:div>
        <w:div w:id="1835562782">
          <w:marLeft w:val="0"/>
          <w:marRight w:val="0"/>
          <w:marTop w:val="0"/>
          <w:marBottom w:val="0"/>
          <w:divBdr>
            <w:top w:val="none" w:sz="0" w:space="0" w:color="auto"/>
            <w:left w:val="none" w:sz="0" w:space="0" w:color="auto"/>
            <w:bottom w:val="none" w:sz="0" w:space="0" w:color="auto"/>
            <w:right w:val="none" w:sz="0" w:space="0" w:color="auto"/>
          </w:divBdr>
        </w:div>
        <w:div w:id="2137795720">
          <w:marLeft w:val="0"/>
          <w:marRight w:val="0"/>
          <w:marTop w:val="0"/>
          <w:marBottom w:val="0"/>
          <w:divBdr>
            <w:top w:val="none" w:sz="0" w:space="0" w:color="auto"/>
            <w:left w:val="none" w:sz="0" w:space="0" w:color="auto"/>
            <w:bottom w:val="none" w:sz="0" w:space="0" w:color="auto"/>
            <w:right w:val="none" w:sz="0" w:space="0" w:color="auto"/>
          </w:divBdr>
        </w:div>
        <w:div w:id="1720282470">
          <w:marLeft w:val="0"/>
          <w:marRight w:val="0"/>
          <w:marTop w:val="0"/>
          <w:marBottom w:val="0"/>
          <w:divBdr>
            <w:top w:val="none" w:sz="0" w:space="0" w:color="auto"/>
            <w:left w:val="none" w:sz="0" w:space="0" w:color="auto"/>
            <w:bottom w:val="none" w:sz="0" w:space="0" w:color="auto"/>
            <w:right w:val="none" w:sz="0" w:space="0" w:color="auto"/>
          </w:divBdr>
        </w:div>
        <w:div w:id="2101370438">
          <w:marLeft w:val="0"/>
          <w:marRight w:val="0"/>
          <w:marTop w:val="0"/>
          <w:marBottom w:val="0"/>
          <w:divBdr>
            <w:top w:val="none" w:sz="0" w:space="0" w:color="auto"/>
            <w:left w:val="none" w:sz="0" w:space="0" w:color="auto"/>
            <w:bottom w:val="none" w:sz="0" w:space="0" w:color="auto"/>
            <w:right w:val="none" w:sz="0" w:space="0" w:color="auto"/>
          </w:divBdr>
        </w:div>
        <w:div w:id="879711778">
          <w:marLeft w:val="0"/>
          <w:marRight w:val="0"/>
          <w:marTop w:val="0"/>
          <w:marBottom w:val="0"/>
          <w:divBdr>
            <w:top w:val="none" w:sz="0" w:space="0" w:color="auto"/>
            <w:left w:val="none" w:sz="0" w:space="0" w:color="auto"/>
            <w:bottom w:val="none" w:sz="0" w:space="0" w:color="auto"/>
            <w:right w:val="none" w:sz="0" w:space="0" w:color="auto"/>
          </w:divBdr>
        </w:div>
        <w:div w:id="76362619">
          <w:marLeft w:val="0"/>
          <w:marRight w:val="0"/>
          <w:marTop w:val="0"/>
          <w:marBottom w:val="0"/>
          <w:divBdr>
            <w:top w:val="none" w:sz="0" w:space="0" w:color="auto"/>
            <w:left w:val="none" w:sz="0" w:space="0" w:color="auto"/>
            <w:bottom w:val="none" w:sz="0" w:space="0" w:color="auto"/>
            <w:right w:val="none" w:sz="0" w:space="0" w:color="auto"/>
          </w:divBdr>
        </w:div>
        <w:div w:id="2123380525">
          <w:marLeft w:val="0"/>
          <w:marRight w:val="0"/>
          <w:marTop w:val="0"/>
          <w:marBottom w:val="0"/>
          <w:divBdr>
            <w:top w:val="none" w:sz="0" w:space="0" w:color="auto"/>
            <w:left w:val="none" w:sz="0" w:space="0" w:color="auto"/>
            <w:bottom w:val="none" w:sz="0" w:space="0" w:color="auto"/>
            <w:right w:val="none" w:sz="0" w:space="0" w:color="auto"/>
          </w:divBdr>
        </w:div>
        <w:div w:id="1330979773">
          <w:marLeft w:val="0"/>
          <w:marRight w:val="0"/>
          <w:marTop w:val="0"/>
          <w:marBottom w:val="0"/>
          <w:divBdr>
            <w:top w:val="none" w:sz="0" w:space="0" w:color="auto"/>
            <w:left w:val="none" w:sz="0" w:space="0" w:color="auto"/>
            <w:bottom w:val="none" w:sz="0" w:space="0" w:color="auto"/>
            <w:right w:val="none" w:sz="0" w:space="0" w:color="auto"/>
          </w:divBdr>
        </w:div>
        <w:div w:id="366640806">
          <w:marLeft w:val="0"/>
          <w:marRight w:val="0"/>
          <w:marTop w:val="0"/>
          <w:marBottom w:val="0"/>
          <w:divBdr>
            <w:top w:val="none" w:sz="0" w:space="0" w:color="auto"/>
            <w:left w:val="none" w:sz="0" w:space="0" w:color="auto"/>
            <w:bottom w:val="none" w:sz="0" w:space="0" w:color="auto"/>
            <w:right w:val="none" w:sz="0" w:space="0" w:color="auto"/>
          </w:divBdr>
        </w:div>
        <w:div w:id="1415740530">
          <w:marLeft w:val="0"/>
          <w:marRight w:val="0"/>
          <w:marTop w:val="0"/>
          <w:marBottom w:val="0"/>
          <w:divBdr>
            <w:top w:val="none" w:sz="0" w:space="0" w:color="auto"/>
            <w:left w:val="none" w:sz="0" w:space="0" w:color="auto"/>
            <w:bottom w:val="none" w:sz="0" w:space="0" w:color="auto"/>
            <w:right w:val="none" w:sz="0" w:space="0" w:color="auto"/>
          </w:divBdr>
        </w:div>
      </w:divsChild>
    </w:div>
    <w:div w:id="1280992222">
      <w:bodyDiv w:val="1"/>
      <w:marLeft w:val="0"/>
      <w:marRight w:val="0"/>
      <w:marTop w:val="0"/>
      <w:marBottom w:val="0"/>
      <w:divBdr>
        <w:top w:val="none" w:sz="0" w:space="0" w:color="auto"/>
        <w:left w:val="none" w:sz="0" w:space="0" w:color="auto"/>
        <w:bottom w:val="none" w:sz="0" w:space="0" w:color="auto"/>
        <w:right w:val="none" w:sz="0" w:space="0" w:color="auto"/>
      </w:divBdr>
      <w:divsChild>
        <w:div w:id="1010988909">
          <w:marLeft w:val="0"/>
          <w:marRight w:val="0"/>
          <w:marTop w:val="0"/>
          <w:marBottom w:val="206"/>
          <w:divBdr>
            <w:top w:val="none" w:sz="0" w:space="0" w:color="auto"/>
            <w:left w:val="none" w:sz="0" w:space="0" w:color="auto"/>
            <w:bottom w:val="none" w:sz="0" w:space="0" w:color="auto"/>
            <w:right w:val="none" w:sz="0" w:space="0" w:color="auto"/>
          </w:divBdr>
        </w:div>
        <w:div w:id="1042554327">
          <w:marLeft w:val="0"/>
          <w:marRight w:val="0"/>
          <w:marTop w:val="0"/>
          <w:marBottom w:val="206"/>
          <w:divBdr>
            <w:top w:val="none" w:sz="0" w:space="0" w:color="auto"/>
            <w:left w:val="none" w:sz="0" w:space="0" w:color="auto"/>
            <w:bottom w:val="none" w:sz="0" w:space="0" w:color="auto"/>
            <w:right w:val="none" w:sz="0" w:space="0" w:color="auto"/>
          </w:divBdr>
        </w:div>
        <w:div w:id="1423721233">
          <w:marLeft w:val="0"/>
          <w:marRight w:val="0"/>
          <w:marTop w:val="0"/>
          <w:marBottom w:val="206"/>
          <w:divBdr>
            <w:top w:val="none" w:sz="0" w:space="0" w:color="auto"/>
            <w:left w:val="none" w:sz="0" w:space="0" w:color="auto"/>
            <w:bottom w:val="none" w:sz="0" w:space="0" w:color="auto"/>
            <w:right w:val="none" w:sz="0" w:space="0" w:color="auto"/>
          </w:divBdr>
        </w:div>
        <w:div w:id="236210148">
          <w:marLeft w:val="0"/>
          <w:marRight w:val="0"/>
          <w:marTop w:val="0"/>
          <w:marBottom w:val="206"/>
          <w:divBdr>
            <w:top w:val="none" w:sz="0" w:space="0" w:color="auto"/>
            <w:left w:val="none" w:sz="0" w:space="0" w:color="auto"/>
            <w:bottom w:val="none" w:sz="0" w:space="0" w:color="auto"/>
            <w:right w:val="none" w:sz="0" w:space="0" w:color="auto"/>
          </w:divBdr>
        </w:div>
        <w:div w:id="179055179">
          <w:marLeft w:val="0"/>
          <w:marRight w:val="0"/>
          <w:marTop w:val="0"/>
          <w:marBottom w:val="206"/>
          <w:divBdr>
            <w:top w:val="none" w:sz="0" w:space="0" w:color="auto"/>
            <w:left w:val="none" w:sz="0" w:space="0" w:color="auto"/>
            <w:bottom w:val="none" w:sz="0" w:space="0" w:color="auto"/>
            <w:right w:val="none" w:sz="0" w:space="0" w:color="auto"/>
          </w:divBdr>
        </w:div>
        <w:div w:id="184247019">
          <w:marLeft w:val="0"/>
          <w:marRight w:val="0"/>
          <w:marTop w:val="0"/>
          <w:marBottom w:val="206"/>
          <w:divBdr>
            <w:top w:val="none" w:sz="0" w:space="0" w:color="auto"/>
            <w:left w:val="none" w:sz="0" w:space="0" w:color="auto"/>
            <w:bottom w:val="none" w:sz="0" w:space="0" w:color="auto"/>
            <w:right w:val="none" w:sz="0" w:space="0" w:color="auto"/>
          </w:divBdr>
        </w:div>
        <w:div w:id="137961462">
          <w:marLeft w:val="0"/>
          <w:marRight w:val="0"/>
          <w:marTop w:val="0"/>
          <w:marBottom w:val="206"/>
          <w:divBdr>
            <w:top w:val="none" w:sz="0" w:space="0" w:color="auto"/>
            <w:left w:val="none" w:sz="0" w:space="0" w:color="auto"/>
            <w:bottom w:val="none" w:sz="0" w:space="0" w:color="auto"/>
            <w:right w:val="none" w:sz="0" w:space="0" w:color="auto"/>
          </w:divBdr>
        </w:div>
        <w:div w:id="681667733">
          <w:marLeft w:val="0"/>
          <w:marRight w:val="0"/>
          <w:marTop w:val="0"/>
          <w:marBottom w:val="206"/>
          <w:divBdr>
            <w:top w:val="none" w:sz="0" w:space="0" w:color="auto"/>
            <w:left w:val="none" w:sz="0" w:space="0" w:color="auto"/>
            <w:bottom w:val="none" w:sz="0" w:space="0" w:color="auto"/>
            <w:right w:val="none" w:sz="0" w:space="0" w:color="auto"/>
          </w:divBdr>
        </w:div>
        <w:div w:id="839465963">
          <w:marLeft w:val="0"/>
          <w:marRight w:val="0"/>
          <w:marTop w:val="0"/>
          <w:marBottom w:val="206"/>
          <w:divBdr>
            <w:top w:val="none" w:sz="0" w:space="0" w:color="auto"/>
            <w:left w:val="none" w:sz="0" w:space="0" w:color="auto"/>
            <w:bottom w:val="none" w:sz="0" w:space="0" w:color="auto"/>
            <w:right w:val="none" w:sz="0" w:space="0" w:color="auto"/>
          </w:divBdr>
        </w:div>
      </w:divsChild>
    </w:div>
    <w:div w:id="1399746633">
      <w:bodyDiv w:val="1"/>
      <w:marLeft w:val="0"/>
      <w:marRight w:val="0"/>
      <w:marTop w:val="0"/>
      <w:marBottom w:val="0"/>
      <w:divBdr>
        <w:top w:val="none" w:sz="0" w:space="0" w:color="auto"/>
        <w:left w:val="none" w:sz="0" w:space="0" w:color="auto"/>
        <w:bottom w:val="none" w:sz="0" w:space="0" w:color="auto"/>
        <w:right w:val="none" w:sz="0" w:space="0" w:color="auto"/>
      </w:divBdr>
      <w:divsChild>
        <w:div w:id="870534956">
          <w:marLeft w:val="0"/>
          <w:marRight w:val="0"/>
          <w:marTop w:val="0"/>
          <w:marBottom w:val="206"/>
          <w:divBdr>
            <w:top w:val="none" w:sz="0" w:space="0" w:color="auto"/>
            <w:left w:val="none" w:sz="0" w:space="0" w:color="auto"/>
            <w:bottom w:val="none" w:sz="0" w:space="0" w:color="auto"/>
            <w:right w:val="none" w:sz="0" w:space="0" w:color="auto"/>
          </w:divBdr>
        </w:div>
        <w:div w:id="1690913991">
          <w:marLeft w:val="0"/>
          <w:marRight w:val="0"/>
          <w:marTop w:val="0"/>
          <w:marBottom w:val="206"/>
          <w:divBdr>
            <w:top w:val="none" w:sz="0" w:space="0" w:color="auto"/>
            <w:left w:val="none" w:sz="0" w:space="0" w:color="auto"/>
            <w:bottom w:val="none" w:sz="0" w:space="0" w:color="auto"/>
            <w:right w:val="none" w:sz="0" w:space="0" w:color="auto"/>
          </w:divBdr>
        </w:div>
        <w:div w:id="388499038">
          <w:marLeft w:val="0"/>
          <w:marRight w:val="0"/>
          <w:marTop w:val="0"/>
          <w:marBottom w:val="0"/>
          <w:divBdr>
            <w:top w:val="none" w:sz="0" w:space="0" w:color="auto"/>
            <w:left w:val="none" w:sz="0" w:space="0" w:color="auto"/>
            <w:bottom w:val="none" w:sz="0" w:space="0" w:color="auto"/>
            <w:right w:val="none" w:sz="0" w:space="0" w:color="auto"/>
          </w:divBdr>
        </w:div>
      </w:divsChild>
    </w:div>
    <w:div w:id="1745032152">
      <w:bodyDiv w:val="1"/>
      <w:marLeft w:val="0"/>
      <w:marRight w:val="0"/>
      <w:marTop w:val="0"/>
      <w:marBottom w:val="0"/>
      <w:divBdr>
        <w:top w:val="none" w:sz="0" w:space="0" w:color="auto"/>
        <w:left w:val="none" w:sz="0" w:space="0" w:color="auto"/>
        <w:bottom w:val="none" w:sz="0" w:space="0" w:color="auto"/>
        <w:right w:val="none" w:sz="0" w:space="0" w:color="auto"/>
      </w:divBdr>
      <w:divsChild>
        <w:div w:id="1825584903">
          <w:marLeft w:val="0"/>
          <w:marRight w:val="0"/>
          <w:marTop w:val="0"/>
          <w:marBottom w:val="206"/>
          <w:divBdr>
            <w:top w:val="none" w:sz="0" w:space="0" w:color="auto"/>
            <w:left w:val="none" w:sz="0" w:space="0" w:color="auto"/>
            <w:bottom w:val="none" w:sz="0" w:space="0" w:color="auto"/>
            <w:right w:val="none" w:sz="0" w:space="0" w:color="auto"/>
          </w:divBdr>
        </w:div>
        <w:div w:id="700013386">
          <w:marLeft w:val="0"/>
          <w:marRight w:val="0"/>
          <w:marTop w:val="0"/>
          <w:marBottom w:val="206"/>
          <w:divBdr>
            <w:top w:val="none" w:sz="0" w:space="0" w:color="auto"/>
            <w:left w:val="none" w:sz="0" w:space="0" w:color="auto"/>
            <w:bottom w:val="none" w:sz="0" w:space="0" w:color="auto"/>
            <w:right w:val="none" w:sz="0" w:space="0" w:color="auto"/>
          </w:divBdr>
        </w:div>
        <w:div w:id="1501458187">
          <w:marLeft w:val="0"/>
          <w:marRight w:val="0"/>
          <w:marTop w:val="0"/>
          <w:marBottom w:val="206"/>
          <w:divBdr>
            <w:top w:val="none" w:sz="0" w:space="0" w:color="auto"/>
            <w:left w:val="none" w:sz="0" w:space="0" w:color="auto"/>
            <w:bottom w:val="none" w:sz="0" w:space="0" w:color="auto"/>
            <w:right w:val="none" w:sz="0" w:space="0" w:color="auto"/>
          </w:divBdr>
        </w:div>
        <w:div w:id="475146897">
          <w:marLeft w:val="0"/>
          <w:marRight w:val="0"/>
          <w:marTop w:val="0"/>
          <w:marBottom w:val="206"/>
          <w:divBdr>
            <w:top w:val="none" w:sz="0" w:space="0" w:color="auto"/>
            <w:left w:val="none" w:sz="0" w:space="0" w:color="auto"/>
            <w:bottom w:val="none" w:sz="0" w:space="0" w:color="auto"/>
            <w:right w:val="none" w:sz="0" w:space="0" w:color="auto"/>
          </w:divBdr>
        </w:div>
        <w:div w:id="267785208">
          <w:marLeft w:val="0"/>
          <w:marRight w:val="0"/>
          <w:marTop w:val="0"/>
          <w:marBottom w:val="206"/>
          <w:divBdr>
            <w:top w:val="none" w:sz="0" w:space="0" w:color="auto"/>
            <w:left w:val="none" w:sz="0" w:space="0" w:color="auto"/>
            <w:bottom w:val="none" w:sz="0" w:space="0" w:color="auto"/>
            <w:right w:val="none" w:sz="0" w:space="0" w:color="auto"/>
          </w:divBdr>
        </w:div>
        <w:div w:id="220753259">
          <w:marLeft w:val="0"/>
          <w:marRight w:val="0"/>
          <w:marTop w:val="0"/>
          <w:marBottom w:val="206"/>
          <w:divBdr>
            <w:top w:val="none" w:sz="0" w:space="0" w:color="auto"/>
            <w:left w:val="none" w:sz="0" w:space="0" w:color="auto"/>
            <w:bottom w:val="none" w:sz="0" w:space="0" w:color="auto"/>
            <w:right w:val="none" w:sz="0" w:space="0" w:color="auto"/>
          </w:divBdr>
        </w:div>
        <w:div w:id="1409035129">
          <w:marLeft w:val="0"/>
          <w:marRight w:val="0"/>
          <w:marTop w:val="0"/>
          <w:marBottom w:val="206"/>
          <w:divBdr>
            <w:top w:val="none" w:sz="0" w:space="0" w:color="auto"/>
            <w:left w:val="none" w:sz="0" w:space="0" w:color="auto"/>
            <w:bottom w:val="none" w:sz="0" w:space="0" w:color="auto"/>
            <w:right w:val="none" w:sz="0" w:space="0" w:color="auto"/>
          </w:divBdr>
        </w:div>
        <w:div w:id="1709645908">
          <w:marLeft w:val="0"/>
          <w:marRight w:val="0"/>
          <w:marTop w:val="0"/>
          <w:marBottom w:val="206"/>
          <w:divBdr>
            <w:top w:val="none" w:sz="0" w:space="0" w:color="auto"/>
            <w:left w:val="none" w:sz="0" w:space="0" w:color="auto"/>
            <w:bottom w:val="none" w:sz="0" w:space="0" w:color="auto"/>
            <w:right w:val="none" w:sz="0" w:space="0" w:color="auto"/>
          </w:divBdr>
        </w:div>
        <w:div w:id="947587495">
          <w:marLeft w:val="0"/>
          <w:marRight w:val="0"/>
          <w:marTop w:val="0"/>
          <w:marBottom w:val="206"/>
          <w:divBdr>
            <w:top w:val="none" w:sz="0" w:space="0" w:color="auto"/>
            <w:left w:val="none" w:sz="0" w:space="0" w:color="auto"/>
            <w:bottom w:val="none" w:sz="0" w:space="0" w:color="auto"/>
            <w:right w:val="none" w:sz="0" w:space="0" w:color="auto"/>
          </w:divBdr>
        </w:div>
      </w:divsChild>
    </w:div>
    <w:div w:id="1776243302">
      <w:bodyDiv w:val="1"/>
      <w:marLeft w:val="0"/>
      <w:marRight w:val="0"/>
      <w:marTop w:val="0"/>
      <w:marBottom w:val="0"/>
      <w:divBdr>
        <w:top w:val="none" w:sz="0" w:space="0" w:color="auto"/>
        <w:left w:val="none" w:sz="0" w:space="0" w:color="auto"/>
        <w:bottom w:val="none" w:sz="0" w:space="0" w:color="auto"/>
        <w:right w:val="none" w:sz="0" w:space="0" w:color="auto"/>
      </w:divBdr>
      <w:divsChild>
        <w:div w:id="2015837257">
          <w:marLeft w:val="0"/>
          <w:marRight w:val="0"/>
          <w:marTop w:val="0"/>
          <w:marBottom w:val="206"/>
          <w:divBdr>
            <w:top w:val="none" w:sz="0" w:space="0" w:color="auto"/>
            <w:left w:val="none" w:sz="0" w:space="0" w:color="auto"/>
            <w:bottom w:val="none" w:sz="0" w:space="0" w:color="auto"/>
            <w:right w:val="none" w:sz="0" w:space="0" w:color="auto"/>
          </w:divBdr>
        </w:div>
        <w:div w:id="1216626017">
          <w:marLeft w:val="0"/>
          <w:marRight w:val="0"/>
          <w:marTop w:val="0"/>
          <w:marBottom w:val="206"/>
          <w:divBdr>
            <w:top w:val="none" w:sz="0" w:space="0" w:color="auto"/>
            <w:left w:val="none" w:sz="0" w:space="0" w:color="auto"/>
            <w:bottom w:val="none" w:sz="0" w:space="0" w:color="auto"/>
            <w:right w:val="none" w:sz="0" w:space="0" w:color="auto"/>
          </w:divBdr>
        </w:div>
        <w:div w:id="1349678735">
          <w:marLeft w:val="0"/>
          <w:marRight w:val="0"/>
          <w:marTop w:val="0"/>
          <w:marBottom w:val="0"/>
          <w:divBdr>
            <w:top w:val="none" w:sz="0" w:space="0" w:color="auto"/>
            <w:left w:val="none" w:sz="0" w:space="0" w:color="auto"/>
            <w:bottom w:val="none" w:sz="0" w:space="0" w:color="auto"/>
            <w:right w:val="none" w:sz="0" w:space="0" w:color="auto"/>
          </w:divBdr>
        </w:div>
      </w:divsChild>
    </w:div>
    <w:div w:id="2031373025">
      <w:bodyDiv w:val="1"/>
      <w:marLeft w:val="0"/>
      <w:marRight w:val="0"/>
      <w:marTop w:val="0"/>
      <w:marBottom w:val="0"/>
      <w:divBdr>
        <w:top w:val="none" w:sz="0" w:space="0" w:color="auto"/>
        <w:left w:val="none" w:sz="0" w:space="0" w:color="auto"/>
        <w:bottom w:val="none" w:sz="0" w:space="0" w:color="auto"/>
        <w:right w:val="none" w:sz="0" w:space="0" w:color="auto"/>
      </w:divBdr>
      <w:divsChild>
        <w:div w:id="2007172764">
          <w:marLeft w:val="0"/>
          <w:marRight w:val="0"/>
          <w:marTop w:val="0"/>
          <w:marBottom w:val="0"/>
          <w:divBdr>
            <w:top w:val="none" w:sz="0" w:space="0" w:color="auto"/>
            <w:left w:val="none" w:sz="0" w:space="0" w:color="auto"/>
            <w:bottom w:val="none" w:sz="0" w:space="0" w:color="auto"/>
            <w:right w:val="none" w:sz="0" w:space="0" w:color="auto"/>
          </w:divBdr>
        </w:div>
        <w:div w:id="679546940">
          <w:marLeft w:val="0"/>
          <w:marRight w:val="0"/>
          <w:marTop w:val="0"/>
          <w:marBottom w:val="0"/>
          <w:divBdr>
            <w:top w:val="none" w:sz="0" w:space="0" w:color="auto"/>
            <w:left w:val="none" w:sz="0" w:space="0" w:color="auto"/>
            <w:bottom w:val="none" w:sz="0" w:space="0" w:color="auto"/>
            <w:right w:val="none" w:sz="0" w:space="0" w:color="auto"/>
          </w:divBdr>
        </w:div>
        <w:div w:id="1777823625">
          <w:marLeft w:val="0"/>
          <w:marRight w:val="0"/>
          <w:marTop w:val="0"/>
          <w:marBottom w:val="0"/>
          <w:divBdr>
            <w:top w:val="none" w:sz="0" w:space="0" w:color="auto"/>
            <w:left w:val="none" w:sz="0" w:space="0" w:color="auto"/>
            <w:bottom w:val="none" w:sz="0" w:space="0" w:color="auto"/>
            <w:right w:val="none" w:sz="0" w:space="0" w:color="auto"/>
          </w:divBdr>
        </w:div>
        <w:div w:id="318077663">
          <w:marLeft w:val="0"/>
          <w:marRight w:val="0"/>
          <w:marTop w:val="0"/>
          <w:marBottom w:val="0"/>
          <w:divBdr>
            <w:top w:val="none" w:sz="0" w:space="0" w:color="auto"/>
            <w:left w:val="none" w:sz="0" w:space="0" w:color="auto"/>
            <w:bottom w:val="none" w:sz="0" w:space="0" w:color="auto"/>
            <w:right w:val="none" w:sz="0" w:space="0" w:color="auto"/>
          </w:divBdr>
        </w:div>
        <w:div w:id="1816948096">
          <w:marLeft w:val="0"/>
          <w:marRight w:val="0"/>
          <w:marTop w:val="0"/>
          <w:marBottom w:val="0"/>
          <w:divBdr>
            <w:top w:val="none" w:sz="0" w:space="0" w:color="auto"/>
            <w:left w:val="none" w:sz="0" w:space="0" w:color="auto"/>
            <w:bottom w:val="none" w:sz="0" w:space="0" w:color="auto"/>
            <w:right w:val="none" w:sz="0" w:space="0" w:color="auto"/>
          </w:divBdr>
        </w:div>
        <w:div w:id="1084764317">
          <w:marLeft w:val="0"/>
          <w:marRight w:val="0"/>
          <w:marTop w:val="0"/>
          <w:marBottom w:val="0"/>
          <w:divBdr>
            <w:top w:val="none" w:sz="0" w:space="0" w:color="auto"/>
            <w:left w:val="none" w:sz="0" w:space="0" w:color="auto"/>
            <w:bottom w:val="none" w:sz="0" w:space="0" w:color="auto"/>
            <w:right w:val="none" w:sz="0" w:space="0" w:color="auto"/>
          </w:divBdr>
        </w:div>
        <w:div w:id="480579036">
          <w:marLeft w:val="0"/>
          <w:marRight w:val="0"/>
          <w:marTop w:val="0"/>
          <w:marBottom w:val="0"/>
          <w:divBdr>
            <w:top w:val="none" w:sz="0" w:space="0" w:color="auto"/>
            <w:left w:val="none" w:sz="0" w:space="0" w:color="auto"/>
            <w:bottom w:val="none" w:sz="0" w:space="0" w:color="auto"/>
            <w:right w:val="none" w:sz="0" w:space="0" w:color="auto"/>
          </w:divBdr>
        </w:div>
        <w:div w:id="1222211048">
          <w:marLeft w:val="0"/>
          <w:marRight w:val="0"/>
          <w:marTop w:val="0"/>
          <w:marBottom w:val="0"/>
          <w:divBdr>
            <w:top w:val="none" w:sz="0" w:space="0" w:color="auto"/>
            <w:left w:val="none" w:sz="0" w:space="0" w:color="auto"/>
            <w:bottom w:val="none" w:sz="0" w:space="0" w:color="auto"/>
            <w:right w:val="none" w:sz="0" w:space="0" w:color="auto"/>
          </w:divBdr>
        </w:div>
        <w:div w:id="1833981591">
          <w:marLeft w:val="0"/>
          <w:marRight w:val="0"/>
          <w:marTop w:val="0"/>
          <w:marBottom w:val="0"/>
          <w:divBdr>
            <w:top w:val="none" w:sz="0" w:space="0" w:color="auto"/>
            <w:left w:val="none" w:sz="0" w:space="0" w:color="auto"/>
            <w:bottom w:val="none" w:sz="0" w:space="0" w:color="auto"/>
            <w:right w:val="none" w:sz="0" w:space="0" w:color="auto"/>
          </w:divBdr>
        </w:div>
        <w:div w:id="23019815">
          <w:marLeft w:val="0"/>
          <w:marRight w:val="0"/>
          <w:marTop w:val="0"/>
          <w:marBottom w:val="0"/>
          <w:divBdr>
            <w:top w:val="none" w:sz="0" w:space="0" w:color="auto"/>
            <w:left w:val="none" w:sz="0" w:space="0" w:color="auto"/>
            <w:bottom w:val="none" w:sz="0" w:space="0" w:color="auto"/>
            <w:right w:val="none" w:sz="0" w:space="0" w:color="auto"/>
          </w:divBdr>
        </w:div>
        <w:div w:id="1518427404">
          <w:marLeft w:val="0"/>
          <w:marRight w:val="0"/>
          <w:marTop w:val="0"/>
          <w:marBottom w:val="0"/>
          <w:divBdr>
            <w:top w:val="none" w:sz="0" w:space="0" w:color="auto"/>
            <w:left w:val="none" w:sz="0" w:space="0" w:color="auto"/>
            <w:bottom w:val="none" w:sz="0" w:space="0" w:color="auto"/>
            <w:right w:val="none" w:sz="0" w:space="0" w:color="auto"/>
          </w:divBdr>
        </w:div>
        <w:div w:id="1088040150">
          <w:marLeft w:val="0"/>
          <w:marRight w:val="0"/>
          <w:marTop w:val="0"/>
          <w:marBottom w:val="0"/>
          <w:divBdr>
            <w:top w:val="none" w:sz="0" w:space="0" w:color="auto"/>
            <w:left w:val="none" w:sz="0" w:space="0" w:color="auto"/>
            <w:bottom w:val="none" w:sz="0" w:space="0" w:color="auto"/>
            <w:right w:val="none" w:sz="0" w:space="0" w:color="auto"/>
          </w:divBdr>
        </w:div>
        <w:div w:id="708452102">
          <w:marLeft w:val="0"/>
          <w:marRight w:val="0"/>
          <w:marTop w:val="0"/>
          <w:marBottom w:val="0"/>
          <w:divBdr>
            <w:top w:val="none" w:sz="0" w:space="0" w:color="auto"/>
            <w:left w:val="none" w:sz="0" w:space="0" w:color="auto"/>
            <w:bottom w:val="none" w:sz="0" w:space="0" w:color="auto"/>
            <w:right w:val="none" w:sz="0" w:space="0" w:color="auto"/>
          </w:divBdr>
        </w:div>
        <w:div w:id="116859440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TotalTime>
  <Pages>10</Pages>
  <Words>1772</Words>
  <Characters>10101</Characters>
  <Application>Microsoft Office Word</Application>
  <DocSecurity>0</DocSecurity>
  <Lines>84</Lines>
  <Paragraphs>23</Paragraphs>
  <ScaleCrop>false</ScaleCrop>
  <Company/>
  <LinksUpToDate>false</LinksUpToDate>
  <CharactersWithSpaces>11850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晗钧 唐</cp:lastModifiedBy>
  <cp:revision>4</cp:revision>
  <dcterms:created xsi:type="dcterms:W3CDTF">2025-03-02T08:45:00Z</dcterms:created>
  <dcterms:modified xsi:type="dcterms:W3CDTF">2025-03-02T13:13:00Z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7B91E5B715EB478FA8D4B3F0613EE395_11</vt:lpwstr>
  </property>
  <property fmtid="{D5CDD505-2E9C-101B-9397-08002B2CF9AE}" pid="4" name="KSOTemplateDocerSaveRecord">
    <vt:lpwstr>eyJoZGlkIjoiYTM2OWY0OTdmZjVlOWUzOTdhZmM4MjYxYjc2YTRjY2EifQ==</vt:lpwstr>
  </property>
</Properties>
</file>