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403E1">
      <w:pPr>
        <w:jc w:val="center"/>
        <w:rPr>
          <w:rFonts w:hint="eastAsia" w:eastAsiaTheme="minorEastAsia"/>
          <w:color w:val="0D0D0D" w:themeColor="text1" w:themeTint="F2"/>
          <w:lang w:val="en-US" w:eastAsia="zh-CN"/>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作业0</w:t>
      </w:r>
      <w:r>
        <w:rPr>
          <w:rFonts w:hint="eastAsia"/>
          <w:color w:val="0D0D0D" w:themeColor="text1" w:themeTint="F2"/>
          <w:lang w:val="en-US" w:eastAsia="zh-CN"/>
          <w14:textFill>
            <w14:solidFill>
              <w14:schemeClr w14:val="tx1">
                <w14:lumMod w14:val="95000"/>
                <w14:lumOff w14:val="5000"/>
              </w14:schemeClr>
            </w14:solidFill>
          </w14:textFill>
        </w:rPr>
        <w:t>1</w:t>
      </w:r>
      <w:bookmarkStart w:id="3" w:name="_GoBack"/>
      <w:bookmarkEnd w:id="3"/>
    </w:p>
    <w:p w14:paraId="4AC545B5">
      <w:pPr>
        <w:pStyle w:val="10"/>
        <w:numPr>
          <w:ilvl w:val="0"/>
          <w:numId w:val="1"/>
        </w:numPr>
        <w:ind w:firstLineChars="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选择题</w:t>
      </w:r>
    </w:p>
    <w:p w14:paraId="41C4037E">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1、正确的集成测试描述包括（</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w:t>
      </w:r>
    </w:p>
    <w:p w14:paraId="69A36D8C">
      <w:pPr>
        <w:rPr>
          <w:color w:val="0D0D0D" w:themeColor="text1" w:themeTint="F2"/>
          <w14:textFill>
            <w14:solidFill>
              <w14:schemeClr w14:val="tx1">
                <w14:lumMod w14:val="95000"/>
                <w14:lumOff w14:val="5000"/>
              </w14:schemeClr>
            </w14:solidFill>
          </w14:textFill>
        </w:rPr>
      </w:pPr>
      <w:r>
        <w:rPr>
          <w:rFonts w:ascii="宋体" w:hAnsi="宋体" w:cs="宋体"/>
          <w:color w:val="0D0D0D" w:themeColor="text1" w:themeTint="F2"/>
          <w14:textFill>
            <w14:solidFill>
              <w14:schemeClr w14:val="tx1">
                <w14:lumMod w14:val="95000"/>
                <w14:lumOff w14:val="5000"/>
              </w14:schemeClr>
            </w14:solidFill>
          </w14:textFill>
        </w:rPr>
        <w:t>①</w:t>
      </w:r>
      <w:r>
        <w:rPr>
          <w:rFonts w:hint="eastAsia"/>
          <w:color w:val="0D0D0D" w:themeColor="text1" w:themeTint="F2"/>
          <w14:textFill>
            <w14:solidFill>
              <w14:schemeClr w14:val="tx1">
                <w14:lumMod w14:val="95000"/>
                <w14:lumOff w14:val="5000"/>
              </w14:schemeClr>
            </w14:solidFill>
          </w14:textFill>
        </w:rPr>
        <w:t>集成测试也叫做组装测试，通常是在单元测试的基础上，将模块按照设计说明书要求进行组装和测试的过程</w:t>
      </w:r>
    </w:p>
    <w:p w14:paraId="6919838F">
      <w:pPr>
        <w:rPr>
          <w:color w:val="0D0D0D" w:themeColor="text1" w:themeTint="F2"/>
          <w14:textFill>
            <w14:solidFill>
              <w14:schemeClr w14:val="tx1">
                <w14:lumMod w14:val="95000"/>
                <w14:lumOff w14:val="5000"/>
              </w14:schemeClr>
            </w14:solidFill>
          </w14:textFill>
        </w:rPr>
      </w:pPr>
      <w:r>
        <w:rPr>
          <w:rFonts w:ascii="宋体" w:hAnsi="宋体" w:cs="宋体"/>
          <w:color w:val="0D0D0D" w:themeColor="text1" w:themeTint="F2"/>
          <w14:textFill>
            <w14:solidFill>
              <w14:schemeClr w14:val="tx1">
                <w14:lumMod w14:val="95000"/>
                <w14:lumOff w14:val="5000"/>
              </w14:schemeClr>
            </w14:solidFill>
          </w14:textFill>
        </w:rPr>
        <w:t>②</w:t>
      </w:r>
      <w:r>
        <w:rPr>
          <w:rFonts w:hint="eastAsia"/>
          <w:color w:val="0D0D0D" w:themeColor="text1" w:themeTint="F2"/>
          <w14:textFill>
            <w14:solidFill>
              <w14:schemeClr w14:val="tx1">
                <w14:lumMod w14:val="95000"/>
                <w14:lumOff w14:val="5000"/>
              </w14:schemeClr>
            </w14:solidFill>
          </w14:textFill>
        </w:rPr>
        <w:t>自顶向下的增殖方式是集成测试的一种组装方式，它能较早地验证主要的控制和判断点，对于输入输出模块、复杂算法模块中存在的错误能够较早地发现</w:t>
      </w:r>
    </w:p>
    <w:p w14:paraId="0D2F7351">
      <w:pPr>
        <w:rPr>
          <w:color w:val="0D0D0D" w:themeColor="text1" w:themeTint="F2"/>
          <w14:textFill>
            <w14:solidFill>
              <w14:schemeClr w14:val="tx1">
                <w14:lumMod w14:val="95000"/>
                <w14:lumOff w14:val="5000"/>
              </w14:schemeClr>
            </w14:solidFill>
          </w14:textFill>
        </w:rPr>
      </w:pPr>
      <w:r>
        <w:rPr>
          <w:rFonts w:ascii="宋体" w:hAnsi="宋体" w:cs="宋体"/>
          <w:color w:val="0D0D0D" w:themeColor="text1" w:themeTint="F2"/>
          <w:spacing w:val="-1"/>
          <w14:textFill>
            <w14:solidFill>
              <w14:schemeClr w14:val="tx1">
                <w14:lumMod w14:val="95000"/>
                <w14:lumOff w14:val="5000"/>
              </w14:schemeClr>
            </w14:solidFill>
          </w14:textFill>
        </w:rPr>
        <w:t>③</w:t>
      </w:r>
      <w:r>
        <w:rPr>
          <w:rFonts w:hint="eastAsia"/>
          <w:color w:val="0D0D0D" w:themeColor="text1" w:themeTint="F2"/>
          <w14:textFill>
            <w14:solidFill>
              <w14:schemeClr w14:val="tx1">
                <w14:lumMod w14:val="95000"/>
                <w14:lumOff w14:val="5000"/>
              </w14:schemeClr>
            </w14:solidFill>
          </w14:textFill>
        </w:rPr>
        <w:t>集成测试的目的在于检查被测模块能否正确实现详细设计说明中的模块功能、性能、接口和设计约束等要求</w:t>
      </w:r>
    </w:p>
    <w:p w14:paraId="009A509A">
      <w:pPr>
        <w:autoSpaceDE w:val="0"/>
        <w:autoSpaceDN w:val="0"/>
        <w:spacing w:line="209" w:lineRule="exact"/>
        <w:rPr>
          <w:color w:val="0D0D0D" w:themeColor="text1" w:themeTint="F2"/>
          <w14:textFill>
            <w14:solidFill>
              <w14:schemeClr w14:val="tx1">
                <w14:lumMod w14:val="95000"/>
                <w14:lumOff w14:val="5000"/>
              </w14:schemeClr>
            </w14:solidFill>
          </w14:textFill>
        </w:rPr>
      </w:pPr>
      <w:r>
        <w:rPr>
          <w:rFonts w:ascii="宋体" w:hAnsi="宋体" w:cs="宋体"/>
          <w:color w:val="0D0D0D" w:themeColor="text1" w:themeTint="F2"/>
          <w:spacing w:val="-1"/>
          <w14:textFill>
            <w14:solidFill>
              <w14:schemeClr w14:val="tx1">
                <w14:lumMod w14:val="95000"/>
                <w14:lumOff w14:val="5000"/>
              </w14:schemeClr>
            </w14:solidFill>
          </w14:textFill>
        </w:rPr>
        <w:t>④</w:t>
      </w:r>
      <w:r>
        <w:rPr>
          <w:rFonts w:ascii="宋体" w:hAnsi="宋体" w:cs="宋体"/>
          <w:color w:val="0D0D0D" w:themeColor="text1" w:themeTint="F2"/>
          <w14:textFill>
            <w14:solidFill>
              <w14:schemeClr w14:val="tx1">
                <w14:lumMod w14:val="95000"/>
                <w14:lumOff w14:val="5000"/>
              </w14:schemeClr>
            </w14:solidFill>
          </w14:textFill>
        </w:rPr>
        <w:t>集成测试需要重点关注各个模块之间的相互影响，发现并排除全局数据结构问题</w:t>
      </w:r>
    </w:p>
    <w:p w14:paraId="76B064AC">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 xml:space="preserve">A、①② </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 xml:space="preserve">B、②③ </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 xml:space="preserve">C、①④ </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D、②④</w:t>
      </w:r>
    </w:p>
    <w:p w14:paraId="50BEA0CE">
      <w:pPr>
        <w:rPr>
          <w:color w:val="0D0D0D" w:themeColor="text1" w:themeTint="F2"/>
          <w14:textFill>
            <w14:solidFill>
              <w14:schemeClr w14:val="tx1">
                <w14:lumMod w14:val="95000"/>
                <w14:lumOff w14:val="5000"/>
              </w14:schemeClr>
            </w14:solidFill>
          </w14:textFill>
        </w:rPr>
      </w:pPr>
    </w:p>
    <w:p w14:paraId="7E343B83">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2、按照测试实施组织，可将测试划分为开发方测试、用户测试、第三方测试。下面关于开发方测试的描述正确的是（</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w:t>
      </w:r>
    </w:p>
    <w:p w14:paraId="7E221DAE">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①开发方测试通常也叫“验证测试”或“Alpha 测试”</w:t>
      </w:r>
    </w:p>
    <w:p w14:paraId="156C5900">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②开发方测试又称“Beta 测试”</w:t>
      </w:r>
    </w:p>
    <w:p w14:paraId="4087D547">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③开发方测试可以从软件产品编码结束之后开始，或在模块（子系统）测试完成后开始，也可以在确认测试过程中产品达到一定的稳定和可靠程度之后再开始</w:t>
      </w:r>
    </w:p>
    <w:p w14:paraId="4427B6EA">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④开发方测试主要是把软件产品有计划地免费分发到目标市场，让用户大量使用，并评价、检查软件</w:t>
      </w:r>
    </w:p>
    <w:p w14:paraId="13D584A4">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A.②③</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B.①③</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C.①④</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D.①②③</w:t>
      </w:r>
    </w:p>
    <w:p w14:paraId="6075249D">
      <w:pPr>
        <w:rPr>
          <w:color w:val="0D0D0D" w:themeColor="text1" w:themeTint="F2"/>
          <w14:textFill>
            <w14:solidFill>
              <w14:schemeClr w14:val="tx1">
                <w14:lumMod w14:val="95000"/>
                <w14:lumOff w14:val="5000"/>
              </w14:schemeClr>
            </w14:solidFill>
          </w14:textFill>
        </w:rPr>
      </w:pPr>
    </w:p>
    <w:p w14:paraId="4E09C625">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3、软件测试信息流的输入包括（</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w:t>
      </w:r>
    </w:p>
    <w:p w14:paraId="38A4AFD1">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①软件配置（包括软件开发文档、目标执行程序、数据结构）</w:t>
      </w:r>
    </w:p>
    <w:p w14:paraId="7524419D">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②开发工具（开发环境、数据库、中间件等）</w:t>
      </w:r>
    </w:p>
    <w:p w14:paraId="5BF896D2">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③测试配置（包括测试计划、测试用例、测试驱动程序等）</w:t>
      </w:r>
    </w:p>
    <w:p w14:paraId="7397D434">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④测试工具（为提高软件测试效率，使用测试工具为测试工作服务）</w:t>
      </w:r>
    </w:p>
    <w:p w14:paraId="30AAD9D3">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A、①②③④</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B、①②④</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C、①③④</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D、②③④</w:t>
      </w:r>
    </w:p>
    <w:p w14:paraId="2E1C92BA">
      <w:pPr>
        <w:rPr>
          <w:color w:val="0D0D0D" w:themeColor="text1" w:themeTint="F2"/>
          <w14:textFill>
            <w14:solidFill>
              <w14:schemeClr w14:val="tx1">
                <w14:lumMod w14:val="95000"/>
                <w14:lumOff w14:val="5000"/>
              </w14:schemeClr>
            </w14:solidFill>
          </w14:textFill>
        </w:rPr>
      </w:pPr>
    </w:p>
    <w:p w14:paraId="65FFC403">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4、广义的软件测试由“确认”、“验证”、“测试”三个方面组成，其中“确认”是（</w:t>
      </w:r>
      <w:r>
        <w:rPr>
          <w:rFonts w:hint="eastAsia"/>
          <w:color w:val="0D0D0D" w:themeColor="text1" w:themeTint="F2"/>
          <w14:textFill>
            <w14:solidFill>
              <w14:schemeClr w14:val="tx1">
                <w14:lumMod w14:val="95000"/>
                <w14:lumOff w14:val="5000"/>
              </w14:schemeClr>
            </w14:solidFill>
          </w14:textFill>
        </w:rPr>
        <w:tab/>
      </w:r>
      <w:r>
        <w:rPr>
          <w:rFonts w:hint="eastAsia"/>
          <w:color w:val="0D0D0D" w:themeColor="text1" w:themeTint="F2"/>
          <w14:textFill>
            <w14:solidFill>
              <w14:schemeClr w14:val="tx1">
                <w14:lumMod w14:val="95000"/>
                <w14:lumOff w14:val="5000"/>
              </w14:schemeClr>
            </w14:solidFill>
          </w14:textFill>
        </w:rPr>
        <w:t>）。A、确认是想证实在一个给定的外部环境中软件的逻辑正确性，并检查软件在最终的“运行环境上是否达到预期的目标”</w:t>
      </w:r>
    </w:p>
    <w:p w14:paraId="69A0B085">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B、检测软件开发的每个阶段、每个步骤的结果是否正确无误，是否与软件开发各阶段的要求或期望的结果相一致</w:t>
      </w:r>
    </w:p>
    <w:p w14:paraId="1E186B94">
      <w:pPr>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C、检查某样东西是否符合事先已定好的标准</w:t>
      </w:r>
    </w:p>
    <w:p w14:paraId="29EAFB39">
      <w:pPr>
        <w:pStyle w:val="10"/>
        <w:numPr>
          <w:ilvl w:val="0"/>
          <w:numId w:val="2"/>
        </w:numPr>
        <w:ind w:firstLineChars="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试图证明软件在软件生命周期各个阶段以及阶段间的逻辑协调性、完备性和正确性</w:t>
      </w:r>
    </w:p>
    <w:p w14:paraId="6CA44227">
      <w:pPr>
        <w:rPr>
          <w:color w:val="0D0D0D" w:themeColor="text1" w:themeTint="F2"/>
          <w14:textFill>
            <w14:solidFill>
              <w14:schemeClr w14:val="tx1">
                <w14:lumMod w14:val="95000"/>
                <w14:lumOff w14:val="5000"/>
              </w14:schemeClr>
            </w14:solidFill>
          </w14:textFill>
        </w:rPr>
      </w:pPr>
    </w:p>
    <w:p w14:paraId="4FD03472">
      <w:pPr>
        <w:spacing w:line="276" w:lineRule="auto"/>
        <w:rPr>
          <w:color w:val="0D0D0D" w:themeColor="text1" w:themeTint="F2"/>
          <w14:textFill>
            <w14:solidFill>
              <w14:schemeClr w14:val="tx1">
                <w14:lumMod w14:val="95000"/>
                <w14:lumOff w14:val="5000"/>
              </w14:schemeClr>
            </w14:solidFill>
          </w14:textFill>
        </w:rPr>
      </w:pPr>
      <w:bookmarkStart w:id="0" w:name="_Hlk68828143"/>
      <w:bookmarkStart w:id="1" w:name="_Hlk68828376"/>
      <w:r>
        <w:rPr>
          <w:rFonts w:hint="eastAsia"/>
          <w:color w:val="0D0D0D" w:themeColor="text1" w:themeTint="F2"/>
          <w14:textFill>
            <w14:solidFill>
              <w14:schemeClr w14:val="tx1">
                <w14:lumMod w14:val="95000"/>
                <w14:lumOff w14:val="5000"/>
              </w14:schemeClr>
            </w14:solidFill>
          </w14:textFill>
        </w:rPr>
        <w:t>二、</w:t>
      </w:r>
      <w:r>
        <w:rPr>
          <w:color w:val="0D0D0D" w:themeColor="text1" w:themeTint="F2"/>
          <w14:textFill>
            <w14:solidFill>
              <w14:schemeClr w14:val="tx1">
                <w14:lumMod w14:val="95000"/>
                <w14:lumOff w14:val="5000"/>
              </w14:schemeClr>
            </w14:solidFill>
          </w14:textFill>
        </w:rPr>
        <w:t>阅读下列说明，回答问题 1 至问题 3,将解答填入答题纸的对应栏内。</w:t>
      </w:r>
    </w:p>
    <w:p w14:paraId="79D4D62E">
      <w:pPr>
        <w:spacing w:line="276" w:lineRule="auto"/>
        <w:rPr>
          <w:sz w:val="20"/>
          <w:szCs w:val="20"/>
        </w:rPr>
      </w:pPr>
      <w:r>
        <w:rPr>
          <w:rFonts w:ascii="宋体" w:hAnsi="宋体" w:eastAsia="宋体" w:cs="宋体"/>
          <w:b/>
          <w:bCs/>
          <w:szCs w:val="21"/>
        </w:rPr>
        <w:t>【说明】</w:t>
      </w:r>
    </w:p>
    <w:p w14:paraId="4E14A56E">
      <w:pPr>
        <w:spacing w:line="276" w:lineRule="auto"/>
        <w:rPr>
          <w:sz w:val="20"/>
          <w:szCs w:val="20"/>
        </w:rPr>
      </w:pPr>
      <w:r>
        <w:rPr>
          <w:rFonts w:ascii="宋体" w:hAnsi="宋体" w:eastAsia="宋体" w:cs="宋体"/>
          <w:szCs w:val="21"/>
        </w:rPr>
        <w:t>某商店为购买不同数量商品的顾客报出不同的价格，其报价规则如表 2-1 所示。</w:t>
      </w:r>
    </w:p>
    <w:p w14:paraId="2C9A34AE">
      <w:pPr>
        <w:spacing w:line="20" w:lineRule="exact"/>
        <w:rPr>
          <w:sz w:val="20"/>
          <w:szCs w:val="20"/>
        </w:rPr>
      </w:pPr>
    </w:p>
    <w:p w14:paraId="388DFB2A">
      <w:pPr>
        <w:widowControl/>
        <w:jc w:val="left"/>
        <w:rPr>
          <w:sz w:val="20"/>
          <w:szCs w:val="20"/>
        </w:rPr>
      </w:pPr>
      <w:r>
        <w:rPr>
          <w:sz w:val="20"/>
          <w:szCs w:val="20"/>
        </w:rPr>
        <w:br w:type="page"/>
      </w:r>
    </w:p>
    <w:p w14:paraId="29A2460D">
      <w:pPr>
        <w:spacing w:line="200" w:lineRule="exact"/>
        <w:rPr>
          <w:rFonts w:hint="eastAsia"/>
          <w:sz w:val="20"/>
          <w:szCs w:val="20"/>
        </w:rPr>
      </w:pPr>
      <w:r>
        <w:rPr>
          <w:sz w:val="20"/>
          <w:szCs w:val="20"/>
        </w:rPr>
        <w:drawing>
          <wp:anchor distT="0" distB="0" distL="114300" distR="114300" simplePos="0" relativeHeight="251659264" behindDoc="1" locked="0" layoutInCell="0" allowOverlap="1">
            <wp:simplePos x="0" y="0"/>
            <wp:positionH relativeFrom="column">
              <wp:posOffset>152400</wp:posOffset>
            </wp:positionH>
            <wp:positionV relativeFrom="paragraph">
              <wp:posOffset>5715</wp:posOffset>
            </wp:positionV>
            <wp:extent cx="5274310" cy="128905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4"/>
                    <a:srcRect/>
                    <a:stretch>
                      <a:fillRect/>
                    </a:stretch>
                  </pic:blipFill>
                  <pic:spPr>
                    <a:xfrm>
                      <a:off x="0" y="0"/>
                      <a:ext cx="5274310" cy="1289050"/>
                    </a:xfrm>
                    <a:prstGeom prst="rect">
                      <a:avLst/>
                    </a:prstGeom>
                    <a:noFill/>
                  </pic:spPr>
                </pic:pic>
              </a:graphicData>
            </a:graphic>
          </wp:anchor>
        </w:drawing>
      </w:r>
    </w:p>
    <w:p w14:paraId="6F7A4719">
      <w:pPr>
        <w:spacing w:line="200" w:lineRule="exact"/>
        <w:rPr>
          <w:sz w:val="20"/>
          <w:szCs w:val="20"/>
        </w:rPr>
      </w:pPr>
    </w:p>
    <w:p w14:paraId="2DFA5B13">
      <w:pPr>
        <w:spacing w:line="200" w:lineRule="exact"/>
        <w:rPr>
          <w:sz w:val="20"/>
          <w:szCs w:val="20"/>
        </w:rPr>
      </w:pPr>
    </w:p>
    <w:p w14:paraId="566A53BB">
      <w:pPr>
        <w:spacing w:line="200" w:lineRule="exact"/>
        <w:rPr>
          <w:sz w:val="20"/>
          <w:szCs w:val="20"/>
        </w:rPr>
      </w:pPr>
    </w:p>
    <w:p w14:paraId="2608BB61">
      <w:pPr>
        <w:spacing w:line="200" w:lineRule="exact"/>
        <w:rPr>
          <w:sz w:val="20"/>
          <w:szCs w:val="20"/>
        </w:rPr>
      </w:pPr>
    </w:p>
    <w:p w14:paraId="256E1F07">
      <w:pPr>
        <w:spacing w:line="200" w:lineRule="exact"/>
        <w:rPr>
          <w:sz w:val="20"/>
          <w:szCs w:val="20"/>
        </w:rPr>
      </w:pPr>
    </w:p>
    <w:p w14:paraId="2FEA2CD3">
      <w:pPr>
        <w:spacing w:line="200" w:lineRule="exact"/>
        <w:rPr>
          <w:sz w:val="20"/>
          <w:szCs w:val="20"/>
        </w:rPr>
      </w:pPr>
    </w:p>
    <w:p w14:paraId="1F00B7DB">
      <w:pPr>
        <w:spacing w:line="200" w:lineRule="exact"/>
        <w:rPr>
          <w:sz w:val="20"/>
          <w:szCs w:val="20"/>
        </w:rPr>
      </w:pPr>
    </w:p>
    <w:p w14:paraId="7B0C0074">
      <w:pPr>
        <w:spacing w:line="360" w:lineRule="auto"/>
        <w:jc w:val="left"/>
        <w:rPr>
          <w:sz w:val="20"/>
          <w:szCs w:val="20"/>
        </w:rPr>
      </w:pPr>
    </w:p>
    <w:p w14:paraId="13A86BF4">
      <w:pPr>
        <w:spacing w:line="276" w:lineRule="auto"/>
        <w:ind w:firstLine="420"/>
        <w:jc w:val="left"/>
        <w:rPr>
          <w:rFonts w:ascii="宋体" w:hAnsi="宋体" w:eastAsia="宋体" w:cs="宋体"/>
          <w:szCs w:val="21"/>
        </w:rPr>
      </w:pPr>
      <w:r>
        <w:rPr>
          <w:rFonts w:ascii="宋体" w:hAnsi="宋体" w:eastAsia="宋体" w:cs="宋体"/>
          <w:szCs w:val="21"/>
        </w:rPr>
        <w:t>如买 11 件需要支付 10*30+1*27=327 元,</w:t>
      </w:r>
    </w:p>
    <w:p w14:paraId="0D437D9D">
      <w:pPr>
        <w:spacing w:line="276" w:lineRule="auto"/>
        <w:ind w:firstLine="420"/>
        <w:jc w:val="left"/>
        <w:rPr>
          <w:rFonts w:ascii="宋体" w:hAnsi="宋体" w:eastAsia="宋体" w:cs="宋体"/>
          <w:szCs w:val="21"/>
        </w:rPr>
      </w:pPr>
      <w:r>
        <w:rPr>
          <w:rFonts w:ascii="宋体" w:hAnsi="宋体" w:eastAsia="宋体" w:cs="宋体"/>
          <w:szCs w:val="21"/>
        </w:rPr>
        <w:t>买 35 件需要支付 10*30+10*27+10*25+5*22=930元</w:t>
      </w:r>
      <w:r>
        <w:rPr>
          <w:rFonts w:hint="eastAsia" w:ascii="宋体" w:hAnsi="宋体" w:eastAsia="宋体" w:cs="宋体"/>
          <w:szCs w:val="21"/>
        </w:rPr>
        <w:t>。</w:t>
      </w:r>
    </w:p>
    <w:p w14:paraId="6AB4DF54">
      <w:pPr>
        <w:spacing w:line="276" w:lineRule="auto"/>
        <w:ind w:firstLine="420"/>
        <w:jc w:val="left"/>
        <w:rPr>
          <w:szCs w:val="21"/>
        </w:rPr>
      </w:pPr>
      <w:r>
        <w:rPr>
          <w:rFonts w:ascii="宋体" w:hAnsi="宋体" w:eastAsia="宋体" w:cs="宋体"/>
          <w:szCs w:val="21"/>
        </w:rPr>
        <w:t>现在该商家开发一个软件,输入为商品数 C(1&lt;=C&lt;=100),输出为因付的价钱 P。</w:t>
      </w:r>
    </w:p>
    <w:p w14:paraId="381A2756">
      <w:pPr>
        <w:spacing w:line="276" w:lineRule="auto"/>
        <w:rPr>
          <w:rFonts w:hint="eastAsia"/>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w:t>
      </w:r>
      <w:r>
        <w:rPr>
          <w:rFonts w:hint="eastAsia"/>
          <w:b/>
          <w:bCs/>
          <w:color w:val="0D0D0D" w:themeColor="text1" w:themeTint="F2"/>
          <w14:textFill>
            <w14:solidFill>
              <w14:schemeClr w14:val="tx1">
                <w14:lumMod w14:val="95000"/>
                <w14:lumOff w14:val="5000"/>
              </w14:schemeClr>
            </w14:solidFill>
          </w14:textFill>
        </w:rPr>
        <w:t>问题 1</w:t>
      </w:r>
      <w:r>
        <w:rPr>
          <w:rFonts w:hint="eastAsia"/>
          <w:color w:val="0D0D0D" w:themeColor="text1" w:themeTint="F2"/>
          <w14:textFill>
            <w14:solidFill>
              <w14:schemeClr w14:val="tx1">
                <w14:lumMod w14:val="95000"/>
                <w14:lumOff w14:val="5000"/>
              </w14:schemeClr>
            </w14:solidFill>
          </w14:textFill>
        </w:rPr>
        <w:t>】</w:t>
      </w:r>
    </w:p>
    <w:p w14:paraId="7D509E80">
      <w:pPr>
        <w:spacing w:line="276" w:lineRule="auto"/>
        <w:rPr>
          <w:rFonts w:hint="eastAsia"/>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请采用等价类划分法为该软件设计测试用例(不考虑 C 为非整数的情况).</w:t>
      </w:r>
    </w:p>
    <w:p w14:paraId="59B6433C">
      <w:pPr>
        <w:spacing w:line="276" w:lineRule="auto"/>
        <w:rPr>
          <w:rFonts w:hint="eastAsia"/>
          <w:sz w:val="20"/>
          <w:szCs w:val="20"/>
        </w:rPr>
      </w:pPr>
      <w:r>
        <w:rPr>
          <w:rFonts w:ascii="宋体" w:hAnsi="宋体" w:eastAsia="宋体" w:cs="宋体"/>
          <w:b/>
          <w:bCs/>
          <w:szCs w:val="21"/>
        </w:rPr>
        <w:t>【问题 2】</w:t>
      </w:r>
    </w:p>
    <w:p w14:paraId="5D8C1D3D">
      <w:pPr>
        <w:spacing w:line="276" w:lineRule="auto"/>
        <w:rPr>
          <w:rFonts w:hint="eastAsia" w:ascii="宋体" w:hAnsi="宋体" w:eastAsia="宋体" w:cs="宋体"/>
          <w:szCs w:val="21"/>
        </w:rPr>
      </w:pPr>
      <w:r>
        <w:rPr>
          <w:rFonts w:ascii="宋体" w:hAnsi="宋体" w:eastAsia="宋体" w:cs="宋体"/>
          <w:sz w:val="20"/>
          <w:szCs w:val="20"/>
        </w:rPr>
        <w:t>请采用边界值分析法为该软件设计测试用例(不考虑健壮性测试,既不考虑 C 不在 1 到</w:t>
      </w:r>
      <w:r>
        <w:rPr>
          <w:rFonts w:hint="eastAsia"/>
          <w:sz w:val="20"/>
          <w:szCs w:val="20"/>
        </w:rPr>
        <w:t>1</w:t>
      </w:r>
      <w:r>
        <w:rPr>
          <w:sz w:val="20"/>
          <w:szCs w:val="20"/>
        </w:rPr>
        <w:t>00</w:t>
      </w:r>
      <w:r>
        <w:rPr>
          <w:rFonts w:ascii="宋体" w:hAnsi="宋体" w:eastAsia="宋体" w:cs="宋体"/>
          <w:szCs w:val="21"/>
        </w:rPr>
        <w:t>之间或者是非整数的情况).</w:t>
      </w:r>
    </w:p>
    <w:p w14:paraId="05B8D220">
      <w:pPr>
        <w:spacing w:line="276" w:lineRule="auto"/>
        <w:rPr>
          <w:rFonts w:hint="eastAsia"/>
          <w:sz w:val="20"/>
          <w:szCs w:val="20"/>
        </w:rPr>
      </w:pPr>
      <w:r>
        <w:rPr>
          <w:rFonts w:ascii="宋体" w:hAnsi="宋体" w:eastAsia="宋体" w:cs="宋体"/>
          <w:b/>
          <w:bCs/>
          <w:szCs w:val="21"/>
        </w:rPr>
        <w:t>【问题 3】</w:t>
      </w:r>
    </w:p>
    <w:p w14:paraId="1ABB8643">
      <w:pPr>
        <w:spacing w:line="276" w:lineRule="auto"/>
        <w:rPr>
          <w:rFonts w:hint="eastAsia"/>
          <w:sz w:val="20"/>
          <w:szCs w:val="20"/>
        </w:rPr>
      </w:pPr>
      <w:r>
        <w:rPr>
          <w:rFonts w:ascii="宋体" w:hAnsi="宋体" w:eastAsia="宋体" w:cs="宋体"/>
          <w:szCs w:val="21"/>
        </w:rPr>
        <w:t>列举除了等价类划分法和边界值分析法以外的三种常见的黑盒测试用例设计方法。</w:t>
      </w:r>
    </w:p>
    <w:bookmarkEnd w:id="0"/>
    <w:bookmarkEnd w:id="1"/>
    <w:p w14:paraId="39698793">
      <w:pPr>
        <w:rPr>
          <w:color w:val="0D0D0D" w:themeColor="text1" w:themeTint="F2"/>
          <w14:textFill>
            <w14:solidFill>
              <w14:schemeClr w14:val="tx1">
                <w14:lumMod w14:val="95000"/>
                <w14:lumOff w14:val="5000"/>
              </w14:schemeClr>
            </w14:solidFill>
          </w14:textFill>
        </w:rPr>
      </w:pPr>
      <w:bookmarkStart w:id="2" w:name="page50"/>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AA2A24"/>
    <w:multiLevelType w:val="multilevel"/>
    <w:tmpl w:val="25AA2A24"/>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2A854FC"/>
    <w:multiLevelType w:val="multilevel"/>
    <w:tmpl w:val="72A854FC"/>
    <w:lvl w:ilvl="0" w:tentative="0">
      <w:start w:val="4"/>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RhMTcwNjIxMWMxZThjODJiZmE3NDcyNzg3OGI4YjYifQ=="/>
  </w:docVars>
  <w:rsids>
    <w:rsidRoot w:val="00A74DC8"/>
    <w:rsid w:val="000006B2"/>
    <w:rsid w:val="00062736"/>
    <w:rsid w:val="001158D8"/>
    <w:rsid w:val="001877F7"/>
    <w:rsid w:val="001A6D86"/>
    <w:rsid w:val="001B08D8"/>
    <w:rsid w:val="0026694B"/>
    <w:rsid w:val="0027505B"/>
    <w:rsid w:val="00297D56"/>
    <w:rsid w:val="00575A37"/>
    <w:rsid w:val="005D2BF3"/>
    <w:rsid w:val="006752C1"/>
    <w:rsid w:val="006764E8"/>
    <w:rsid w:val="006A7DE2"/>
    <w:rsid w:val="00705C38"/>
    <w:rsid w:val="00780E73"/>
    <w:rsid w:val="0078755A"/>
    <w:rsid w:val="00795B62"/>
    <w:rsid w:val="007F6086"/>
    <w:rsid w:val="00930AB7"/>
    <w:rsid w:val="00A214EB"/>
    <w:rsid w:val="00A56EBC"/>
    <w:rsid w:val="00A74DC8"/>
    <w:rsid w:val="00A82A90"/>
    <w:rsid w:val="00B0111C"/>
    <w:rsid w:val="00CA0FC6"/>
    <w:rsid w:val="00CB7A7F"/>
    <w:rsid w:val="00D675CC"/>
    <w:rsid w:val="00D94F73"/>
    <w:rsid w:val="00E32FFC"/>
    <w:rsid w:val="00E54C93"/>
    <w:rsid w:val="31F6358B"/>
    <w:rsid w:val="38A37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000FF" w:themeColor="hyperlink"/>
      <w:u w:val="single"/>
      <w14:textFill>
        <w14:solidFill>
          <w14:schemeClr w14:val="hlink"/>
        </w14:solidFill>
      </w14:textFill>
    </w:rPr>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paragraph" w:styleId="10">
    <w:name w:val="List Paragraph"/>
    <w:basedOn w:val="1"/>
    <w:qFormat/>
    <w:uiPriority w:val="34"/>
    <w:pPr>
      <w:ind w:firstLine="420" w:firstLineChars="200"/>
    </w:pPr>
  </w:style>
  <w:style w:type="character" w:customStyle="1" w:styleId="11">
    <w:name w:val="批注框文本 字符"/>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IT</Company>
  <Pages>2</Pages>
  <Words>1048</Words>
  <Characters>1119</Characters>
  <Lines>9</Lines>
  <Paragraphs>2</Paragraphs>
  <TotalTime>79</TotalTime>
  <ScaleCrop>false</ScaleCrop>
  <LinksUpToDate>false</LinksUpToDate>
  <CharactersWithSpaces>1167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2020-03-15T15:21:00Z</dcterms:created>
  <dc:creator>Sky</dc:creator>
  <cp:lastModifiedBy>蔡蔡</cp:lastModifiedBy>
  <dcterms:modified xsi:type="dcterms:W3CDTF">2026-04-07T02:01:17Z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4603F905AFEF4C33B1B0E3FE947CE994_12</vt:lpwstr>
  </property>
  <property fmtid="{D5CDD505-2E9C-101B-9397-08002B2CF9AE}" pid="4" name="KSOTemplateDocerSaveRecord">
    <vt:lpwstr>eyJoZGlkIjoiZGE5NDJhN2UwN2RmMWFmZTQxYjk1ODFhZDI2ZWQ0NTIiLCJ1c2VySWQiOiI5ODQ3MDI5NTIifQ==</vt:lpwstr>
  </property>
</Properties>
</file>