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444444"/>
          <w:sz w:val="23"/>
          <w:szCs w:val="23"/>
          <w:highlight w:val="white"/>
        </w:rPr>
      </w:pPr>
      <w:r w:rsidDel="00000000" w:rsidR="00000000" w:rsidRPr="00000000">
        <w:rPr>
          <w:color w:val="444444"/>
          <w:sz w:val="23"/>
          <w:szCs w:val="23"/>
          <w:highlight w:val="white"/>
          <w:rtl w:val="0"/>
        </w:rPr>
        <w:t xml:space="preserve"> There are two foundations for the hobby’s regulatory coverage: the Codes of the National Fire Protection Association (NFPA - a non-governmental public-safety org dedicated to writing safety codes and model laws for fire prevention) and the Code of Federal Regulations (CFR). </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color w:val="444444"/>
          <w:sz w:val="23"/>
          <w:szCs w:val="23"/>
          <w:highlight w:val="white"/>
          <w:rtl w:val="0"/>
        </w:rPr>
        <w:t xml:space="preserve">Specific construction regulations stem from </w:t>
      </w:r>
      <w:r w:rsidDel="00000000" w:rsidR="00000000" w:rsidRPr="00000000">
        <w:rPr>
          <w:color w:val="444444"/>
          <w:sz w:val="23"/>
          <w:szCs w:val="23"/>
          <w:highlight w:val="white"/>
          <w:u w:val="single"/>
          <w:rtl w:val="0"/>
        </w:rPr>
        <w:t xml:space="preserve">Chapter 2 of NFPA Code 1127 (High-Power Rocketry)</w:t>
      </w: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 Under NFPA Code 1127, “high power motors”–motors above ‘G’ power class, and any motor whose average thrust is above 80 Newtons –may be sold to or possessed by only a “certified user”</w:t>
      </w:r>
    </w:p>
    <w:p w:rsidR="00000000" w:rsidDel="00000000" w:rsidP="00000000" w:rsidRDefault="00000000" w:rsidRPr="00000000">
      <w:pPr>
        <w:numPr>
          <w:ilvl w:val="0"/>
          <w:numId w:val="1"/>
        </w:numPr>
        <w:ind w:left="72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Hobby rocket motors (including high power) no longer require a Federal explosives permit to sell, purchase, store, or fly, however certain igniters and large amounts of black powder do.</w:t>
      </w:r>
    </w:p>
    <w:p w:rsidR="00000000" w:rsidDel="00000000" w:rsidP="00000000" w:rsidRDefault="00000000" w:rsidRPr="00000000">
      <w:pPr>
        <w:numPr>
          <w:ilvl w:val="0"/>
          <w:numId w:val="1"/>
        </w:numPr>
        <w:ind w:left="72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Federal low explosives permit is required if the purchase is made over state lines and/or it is brought outside of one’s home state.</w:t>
      </w:r>
    </w:p>
    <w:p w:rsidR="00000000" w:rsidDel="00000000" w:rsidP="00000000" w:rsidRDefault="00000000" w:rsidRPr="00000000">
      <w:pPr>
        <w:numPr>
          <w:ilvl w:val="0"/>
          <w:numId w:val="1"/>
        </w:numPr>
        <w:ind w:left="72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Always need landowner permission to launch, even if public, however the NAR’s insurance does extend to the site-owner for launches in order to cover potential liability issues. </w:t>
      </w:r>
    </w:p>
    <w:p w:rsidR="00000000" w:rsidDel="00000000" w:rsidP="00000000" w:rsidRDefault="00000000" w:rsidRPr="00000000">
      <w:pPr>
        <w:numPr>
          <w:ilvl w:val="1"/>
          <w:numId w:val="1"/>
        </w:numPr>
        <w:ind w:left="144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This insurance is free with the membership, see below</w:t>
      </w:r>
    </w:p>
    <w:p w:rsidR="00000000" w:rsidDel="00000000" w:rsidP="00000000" w:rsidRDefault="00000000" w:rsidRPr="00000000">
      <w:pPr>
        <w:numPr>
          <w:ilvl w:val="0"/>
          <w:numId w:val="1"/>
        </w:numPr>
        <w:ind w:left="72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High-power safety code: Sites must be free of obstructions (tall trees, power lines, buildings, dry brush, etc), and within the site the launcher must be located “at least 1500 feet from any occupied building” and at least “one quarter of the expected altitude” from any boundary of the site.</w:t>
      </w:r>
    </w:p>
    <w:p w:rsidR="00000000" w:rsidDel="00000000" w:rsidP="00000000" w:rsidRDefault="00000000" w:rsidRPr="00000000">
      <w:pPr>
        <w:numPr>
          <w:ilvl w:val="0"/>
          <w:numId w:val="1"/>
        </w:numPr>
        <w:ind w:left="72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The site must contain: no occupied buildings, highways on which traffic exceeds 10 vehicles per hour; and the site must have a minimum dimension no less than either </w:t>
      </w:r>
      <w:r w:rsidDel="00000000" w:rsidR="00000000" w:rsidRPr="00000000">
        <w:rPr>
          <w:color w:val="444444"/>
          <w:sz w:val="23"/>
          <w:szCs w:val="23"/>
          <w:highlight w:val="white"/>
          <w:u w:val="single"/>
          <w:rtl w:val="0"/>
        </w:rPr>
        <w:t xml:space="preserve">half the maximum expected rocket altitude or 1500 feet,</w:t>
      </w:r>
      <w:r w:rsidDel="00000000" w:rsidR="00000000" w:rsidRPr="00000000">
        <w:rPr>
          <w:color w:val="444444"/>
          <w:sz w:val="23"/>
          <w:szCs w:val="23"/>
          <w:highlight w:val="white"/>
          <w:rtl w:val="0"/>
        </w:rPr>
        <w:t xml:space="preserve"> whichever is greater–or it must comply with a table of minimum site dimensions from NFPA 1127 and the high power safety code.</w:t>
      </w:r>
    </w:p>
    <w:p w:rsidR="00000000" w:rsidDel="00000000" w:rsidP="00000000" w:rsidRDefault="00000000" w:rsidRPr="00000000">
      <w:pPr>
        <w:numPr>
          <w:ilvl w:val="0"/>
          <w:numId w:val="1"/>
        </w:numPr>
        <w:ind w:left="72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New Hampshire has adopted laws implementing </w:t>
      </w:r>
      <w:r w:rsidDel="00000000" w:rsidR="00000000" w:rsidRPr="00000000">
        <w:rPr>
          <w:b w:val="1"/>
          <w:color w:val="444444"/>
          <w:sz w:val="23"/>
          <w:szCs w:val="23"/>
          <w:highlight w:val="white"/>
          <w:rtl w:val="0"/>
        </w:rPr>
        <w:t xml:space="preserve">all NFPA codes</w:t>
      </w:r>
      <w:r w:rsidDel="00000000" w:rsidR="00000000" w:rsidRPr="00000000">
        <w:rPr>
          <w:color w:val="444444"/>
          <w:sz w:val="23"/>
          <w:szCs w:val="23"/>
          <w:highlight w:val="white"/>
          <w:rtl w:val="0"/>
        </w:rPr>
        <w:t xml:space="preserve">, “either by adoption of NFPA Code 1 or the International Fire Code (IFC), then the NFPA Codes 1122 and 1127 on rocketry are specifically in effect statewide unless overridden by a specific state or local law.”</w:t>
        <w:tab/>
      </w:r>
    </w:p>
    <w:p w:rsidR="00000000" w:rsidDel="00000000" w:rsidP="00000000" w:rsidRDefault="00000000" w:rsidRPr="00000000">
      <w:pPr>
        <w:numPr>
          <w:ilvl w:val="1"/>
          <w:numId w:val="1"/>
        </w:numPr>
        <w:ind w:left="144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Can use this when opening dialogue with the Fire Marshal in whatever area we are operating in</w:t>
      </w:r>
    </w:p>
    <w:p w:rsidR="00000000" w:rsidDel="00000000" w:rsidP="00000000" w:rsidRDefault="00000000" w:rsidRPr="00000000">
      <w:pPr>
        <w:numPr>
          <w:ilvl w:val="1"/>
          <w:numId w:val="1"/>
        </w:numPr>
        <w:ind w:left="144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Means they should be familiar with the NAR and their safety regulations</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In regards to airspace, the FAA restricts flight in the Federal Aviation Regulations (FAR)–which are also called Title 14 of the Code of Federal Regulations (14 CFR). </w:t>
      </w:r>
    </w:p>
    <w:p w:rsidR="00000000" w:rsidDel="00000000" w:rsidP="00000000" w:rsidRDefault="00000000" w:rsidRPr="00000000">
      <w:pPr>
        <w:numPr>
          <w:ilvl w:val="1"/>
          <w:numId w:val="1"/>
        </w:numPr>
        <w:ind w:left="144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Small model rockets are exempt, we are not</w:t>
      </w:r>
    </w:p>
    <w:p w:rsidR="00000000" w:rsidDel="00000000" w:rsidP="00000000" w:rsidRDefault="00000000" w:rsidRPr="00000000">
      <w:pPr>
        <w:numPr>
          <w:ilvl w:val="0"/>
          <w:numId w:val="1"/>
        </w:numPr>
        <w:ind w:left="72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High powered rockets may not be flown “in controlled airspace (which is extensive in the U.S. even at low altitudes and includes all airspace above 14,500 feet), within 5 miles of the boundary of any airport, into cloud cover greater than 50% or visibility less than 5 miles, within 1500 feet of any person or property not associated with the operation, or between sunset and sunrise.”</w:t>
      </w:r>
    </w:p>
    <w:p w:rsidR="00000000" w:rsidDel="00000000" w:rsidP="00000000" w:rsidRDefault="00000000" w:rsidRPr="00000000">
      <w:pPr>
        <w:numPr>
          <w:ilvl w:val="1"/>
          <w:numId w:val="1"/>
        </w:numPr>
        <w:ind w:left="144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NAR is in compliance with NFPA safety regulations, which in turn are fully aligned with the FAA</w:t>
      </w:r>
    </w:p>
    <w:p w:rsidR="00000000" w:rsidDel="00000000" w:rsidP="00000000" w:rsidRDefault="00000000" w:rsidRPr="00000000">
      <w:pPr>
        <w:numPr>
          <w:ilvl w:val="0"/>
          <w:numId w:val="1"/>
        </w:numPr>
        <w:ind w:left="72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Only need waivers and/or to notify officials if the launch does not comply with the previous bullet</w:t>
      </w:r>
    </w:p>
    <w:p w:rsidR="00000000" w:rsidDel="00000000" w:rsidP="00000000" w:rsidRDefault="00000000" w:rsidRPr="00000000">
      <w:pPr>
        <w:numPr>
          <w:ilvl w:val="1"/>
          <w:numId w:val="1"/>
        </w:numPr>
        <w:ind w:left="144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This paperwork does not grant us exclusive use of the airspace</w:t>
      </w:r>
    </w:p>
    <w:p w:rsidR="00000000" w:rsidDel="00000000" w:rsidP="00000000" w:rsidRDefault="00000000" w:rsidRPr="00000000">
      <w:pPr>
        <w:numPr>
          <w:ilvl w:val="1"/>
          <w:numId w:val="1"/>
        </w:numPr>
        <w:ind w:left="144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 Required info from the flier by the FAA is listed in “section S 101.25 of the FAR (14 CFR 101.25)”</w:t>
      </w:r>
    </w:p>
    <w:p w:rsidR="00000000" w:rsidDel="00000000" w:rsidP="00000000" w:rsidRDefault="00000000" w:rsidRPr="00000000">
      <w:pPr>
        <w:numPr>
          <w:ilvl w:val="0"/>
          <w:numId w:val="1"/>
        </w:numPr>
        <w:ind w:left="72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 Larger rockets require “a specific positive response from the FAA Regional Office granting a waiver before flying may be conducted; and the waiver will require that you notify a specific FAA contact to activate a Notice to Airmen 24 hours prior to launch</w:t>
      </w:r>
    </w:p>
    <w:p w:rsidR="00000000" w:rsidDel="00000000" w:rsidP="00000000" w:rsidRDefault="00000000" w:rsidRPr="00000000">
      <w:pPr>
        <w:numPr>
          <w:ilvl w:val="1"/>
          <w:numId w:val="1"/>
        </w:numPr>
        <w:ind w:left="144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FAA New England Regional Office </w:t>
      </w:r>
    </w:p>
    <w:p w:rsidR="00000000" w:rsidDel="00000000" w:rsidP="00000000" w:rsidRDefault="00000000" w:rsidRPr="00000000">
      <w:pPr>
        <w:numPr>
          <w:ilvl w:val="2"/>
          <w:numId w:val="1"/>
        </w:numPr>
        <w:ind w:left="2160" w:hanging="360"/>
        <w:contextualSpacing w:val="1"/>
        <w:rPr>
          <w:color w:val="444444"/>
          <w:sz w:val="23"/>
          <w:szCs w:val="23"/>
          <w:highlight w:val="white"/>
          <w:u w:val="none"/>
        </w:rPr>
      </w:pPr>
      <w:r w:rsidDel="00000000" w:rsidR="00000000" w:rsidRPr="00000000">
        <w:rPr>
          <w:color w:val="222222"/>
          <w:sz w:val="20"/>
          <w:szCs w:val="20"/>
          <w:highlight w:val="white"/>
          <w:rtl w:val="0"/>
        </w:rPr>
        <w:t xml:space="preserve">Address: 12 District Ave, Burlington, MA 01803</w:t>
      </w:r>
    </w:p>
    <w:p w:rsidR="00000000" w:rsidDel="00000000" w:rsidP="00000000" w:rsidRDefault="00000000" w:rsidRPr="00000000">
      <w:pPr>
        <w:numPr>
          <w:ilvl w:val="2"/>
          <w:numId w:val="1"/>
        </w:numPr>
        <w:ind w:left="2160" w:hanging="360"/>
        <w:contextualSpacing w:val="1"/>
        <w:rPr>
          <w:color w:val="222222"/>
          <w:sz w:val="20"/>
          <w:szCs w:val="20"/>
          <w:highlight w:val="white"/>
          <w:u w:val="none"/>
        </w:rPr>
      </w:pPr>
      <w:r w:rsidDel="00000000" w:rsidR="00000000" w:rsidRPr="00000000">
        <w:rPr>
          <w:color w:val="1a0dab"/>
          <w:sz w:val="20"/>
          <w:szCs w:val="20"/>
          <w:highlight w:val="white"/>
          <w:rtl w:val="0"/>
        </w:rPr>
        <w:t xml:space="preserve">(404) 305-5156</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444444"/>
          <w:sz w:val="24"/>
          <w:szCs w:val="24"/>
          <w:highlight w:val="white"/>
        </w:rPr>
      </w:pPr>
      <w:r w:rsidDel="00000000" w:rsidR="00000000" w:rsidRPr="00000000">
        <w:rPr>
          <w:color w:val="444444"/>
          <w:sz w:val="23"/>
          <w:szCs w:val="23"/>
          <w:highlight w:val="white"/>
          <w:rtl w:val="0"/>
        </w:rPr>
        <w:t xml:space="preserve">The waiver is requested using FAA Form 7711-2, available from any FAA office or the FAA website. (</w:t>
      </w:r>
      <w:hyperlink r:id="rId5">
        <w:r w:rsidDel="00000000" w:rsidR="00000000" w:rsidRPr="00000000">
          <w:rPr>
            <w:color w:val="1155cc"/>
            <w:sz w:val="23"/>
            <w:szCs w:val="23"/>
            <w:highlight w:val="white"/>
            <w:u w:val="single"/>
            <w:rtl w:val="0"/>
          </w:rPr>
          <w:t xml:space="preserve">https://www.faa.gov/</w:t>
        </w:r>
      </w:hyperlink>
      <w:r w:rsidDel="00000000" w:rsidR="00000000" w:rsidRPr="00000000">
        <w:rPr>
          <w:color w:val="444444"/>
          <w:sz w:val="23"/>
          <w:szCs w:val="23"/>
          <w:highlight w:val="white"/>
          <w:rtl w:val="0"/>
        </w:rPr>
        <w:t xml:space="preserve"> )</w:t>
      </w:r>
    </w:p>
    <w:p w:rsidR="00000000" w:rsidDel="00000000" w:rsidP="00000000" w:rsidRDefault="00000000" w:rsidRPr="00000000">
      <w:pPr>
        <w:numPr>
          <w:ilvl w:val="1"/>
          <w:numId w:val="1"/>
        </w:numPr>
        <w:ind w:left="144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Waiver must be submitted in triplicate to the nearest FAA Regional Office 30 or more days prior to launch date</w:t>
      </w:r>
    </w:p>
    <w:p w:rsidR="00000000" w:rsidDel="00000000" w:rsidP="00000000" w:rsidRDefault="00000000" w:rsidRPr="00000000">
      <w:pPr>
        <w:numPr>
          <w:ilvl w:val="2"/>
          <w:numId w:val="1"/>
        </w:numPr>
        <w:ind w:left="216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No fee</w:t>
      </w:r>
    </w:p>
    <w:p w:rsidR="00000000" w:rsidDel="00000000" w:rsidP="00000000" w:rsidRDefault="00000000" w:rsidRPr="00000000">
      <w:pPr>
        <w:numPr>
          <w:ilvl w:val="0"/>
          <w:numId w:val="1"/>
        </w:numPr>
        <w:ind w:left="72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FAA has specified distances from which everyone at the launch site must be standing, which are are detailed in a table in NFPA Code 1127 and the NAR high-power safety code.</w:t>
      </w:r>
    </w:p>
    <w:p w:rsidR="00000000" w:rsidDel="00000000" w:rsidP="00000000" w:rsidRDefault="00000000" w:rsidRPr="00000000">
      <w:pPr>
        <w:numPr>
          <w:ilvl w:val="0"/>
          <w:numId w:val="1"/>
        </w:numPr>
        <w:ind w:left="720" w:hanging="360"/>
        <w:contextualSpacing w:val="1"/>
        <w:rPr>
          <w:color w:val="444444"/>
          <w:sz w:val="23"/>
          <w:szCs w:val="23"/>
          <w:highlight w:val="white"/>
          <w:u w:val="none"/>
        </w:rPr>
      </w:pPr>
      <w:r w:rsidDel="00000000" w:rsidR="00000000" w:rsidRPr="00000000">
        <w:rPr>
          <w:color w:val="444444"/>
          <w:sz w:val="23"/>
          <w:szCs w:val="23"/>
          <w:highlight w:val="white"/>
          <w:rtl w:val="0"/>
        </w:rPr>
        <w:t xml:space="preserve">Can only use certified motors</w:t>
      </w:r>
    </w:p>
    <w:p w:rsidR="00000000" w:rsidDel="00000000" w:rsidP="00000000" w:rsidRDefault="00000000" w:rsidRPr="00000000">
      <w:pPr>
        <w:numPr>
          <w:ilvl w:val="0"/>
          <w:numId w:val="1"/>
        </w:numPr>
        <w:ind w:left="720" w:hanging="360"/>
        <w:contextualSpacing w:val="1"/>
        <w:rPr>
          <w:color w:val="444444"/>
          <w:sz w:val="24"/>
          <w:szCs w:val="24"/>
          <w:highlight w:val="white"/>
        </w:rPr>
      </w:pPr>
      <w:r w:rsidDel="00000000" w:rsidR="00000000" w:rsidRPr="00000000">
        <w:rPr>
          <w:color w:val="444444"/>
          <w:sz w:val="24"/>
          <w:szCs w:val="24"/>
          <w:highlight w:val="white"/>
          <w:rtl w:val="0"/>
        </w:rPr>
        <w:t xml:space="preserve">Individual insurance is automatic for all NAR members. It covers only the insured individual, not the section or the site owner. Under the current underwriter this insurance runs for a 12 month period, coincident with NAR membership.</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ind w:left="720" w:hanging="360"/>
        <w:contextualSpacing w:val="1"/>
        <w:rPr>
          <w:color w:val="444444"/>
          <w:sz w:val="24"/>
          <w:szCs w:val="24"/>
          <w:highlight w:val="white"/>
        </w:rPr>
      </w:pPr>
      <w:r w:rsidDel="00000000" w:rsidR="00000000" w:rsidRPr="00000000">
        <w:rPr>
          <w:color w:val="444444"/>
          <w:sz w:val="24"/>
          <w:szCs w:val="24"/>
          <w:highlight w:val="white"/>
          <w:rtl w:val="0"/>
        </w:rPr>
        <w:t xml:space="preserve">Sections are insured as a group for a  year; remember that section insurance is coincident with the section charter and expires on April 4 each year. Site owner insurance is available to all active sections for free.  Each site owner insurance certificate covers only a single site (launch field or meeting room).</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hyperlink r:id="rId6">
        <w:r w:rsidDel="00000000" w:rsidR="00000000" w:rsidRPr="00000000">
          <w:rPr>
            <w:color w:val="1155cc"/>
            <w:sz w:val="23"/>
            <w:szCs w:val="23"/>
            <w:highlight w:val="white"/>
            <w:u w:val="single"/>
            <w:rtl w:val="0"/>
          </w:rPr>
          <w:t xml:space="preserve">http://www.nar.org/find-a-local-club/section-guidebook/laws-regulations/</w:t>
        </w:r>
      </w:hyperlink>
      <w:r w:rsidDel="00000000" w:rsidR="00000000" w:rsidRPr="00000000">
        <w:rPr>
          <w:color w:val="444444"/>
          <w:sz w:val="23"/>
          <w:szCs w:val="23"/>
          <w:highlight w:val="white"/>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aa.gov/" TargetMode="External"/><Relationship Id="rId6" Type="http://schemas.openxmlformats.org/officeDocument/2006/relationships/hyperlink" Target="http://www.nar.org/find-a-local-club/section-guidebook/laws-regulations/" TargetMode="External"/></Relationships>
</file>